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946F" w14:textId="77777777" w:rsidR="009012CE" w:rsidRDefault="009012CE" w:rsidP="009012CE">
      <w:pPr>
        <w:jc w:val="center"/>
        <w:rPr>
          <w:b/>
          <w:bCs/>
          <w:sz w:val="36"/>
          <w:szCs w:val="36"/>
          <w:lang w:val="en-US"/>
        </w:rPr>
      </w:pPr>
      <w:r w:rsidRPr="009012CE">
        <w:rPr>
          <w:b/>
          <w:bCs/>
          <w:sz w:val="36"/>
          <w:szCs w:val="36"/>
          <w:lang w:val="en-US"/>
        </w:rPr>
        <w:t xml:space="preserve">Reading List for BA (Hons) Physical Education and </w:t>
      </w:r>
    </w:p>
    <w:p w14:paraId="05976FE5" w14:textId="58973838" w:rsidR="009012CE" w:rsidRDefault="009012CE" w:rsidP="009012CE">
      <w:pPr>
        <w:jc w:val="center"/>
        <w:rPr>
          <w:b/>
          <w:bCs/>
          <w:sz w:val="36"/>
          <w:szCs w:val="36"/>
          <w:lang w:val="en-US"/>
        </w:rPr>
      </w:pPr>
      <w:r w:rsidRPr="009012CE">
        <w:rPr>
          <w:b/>
          <w:bCs/>
          <w:sz w:val="36"/>
          <w:szCs w:val="36"/>
          <w:lang w:val="en-US"/>
        </w:rPr>
        <w:t>BA (Hons) Physical Education with Dance Students</w:t>
      </w:r>
    </w:p>
    <w:p w14:paraId="26612A71" w14:textId="77777777" w:rsidR="00D00576" w:rsidRDefault="00D00576" w:rsidP="00D00576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3C54A877" w14:textId="0E492019" w:rsidR="00D00576" w:rsidRPr="00D00576" w:rsidRDefault="00D00576" w:rsidP="00D00576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D00576">
        <w:rPr>
          <w:rFonts w:cstheme="minorHAnsi"/>
          <w:b/>
          <w:bCs/>
          <w:sz w:val="28"/>
          <w:szCs w:val="28"/>
          <w:lang w:val="en-US"/>
        </w:rPr>
        <w:t xml:space="preserve">Please also find this list on </w:t>
      </w:r>
      <w:proofErr w:type="spellStart"/>
      <w:r w:rsidRPr="00D00576">
        <w:rPr>
          <w:rFonts w:cstheme="minorHAnsi"/>
          <w:b/>
          <w:bCs/>
          <w:sz w:val="28"/>
          <w:szCs w:val="28"/>
          <w:lang w:val="en-US"/>
        </w:rPr>
        <w:t>KeyLinks</w:t>
      </w:r>
      <w:proofErr w:type="spellEnd"/>
      <w:r w:rsidRPr="00D00576">
        <w:rPr>
          <w:rFonts w:cstheme="minorHAnsi"/>
          <w:b/>
          <w:bCs/>
          <w:sz w:val="28"/>
          <w:szCs w:val="28"/>
          <w:lang w:val="en-US"/>
        </w:rPr>
        <w:t xml:space="preserve"> </w:t>
      </w:r>
      <w:hyperlink r:id="rId4" w:history="1">
        <w:r w:rsidRPr="00D00576">
          <w:rPr>
            <w:rStyle w:val="Hyperlink"/>
            <w:rFonts w:cstheme="minorHAnsi"/>
            <w:b/>
            <w:bCs/>
            <w:sz w:val="28"/>
            <w:szCs w:val="28"/>
            <w:lang w:val="en-US"/>
          </w:rPr>
          <w:t>https://marjo</w:t>
        </w:r>
        <w:r w:rsidRPr="00D00576">
          <w:rPr>
            <w:rStyle w:val="Hyperlink"/>
            <w:rFonts w:cstheme="minorHAnsi"/>
            <w:b/>
            <w:bCs/>
            <w:sz w:val="28"/>
            <w:szCs w:val="28"/>
            <w:lang w:val="en-US"/>
          </w:rPr>
          <w:t>n</w:t>
        </w:r>
        <w:r w:rsidRPr="00D00576">
          <w:rPr>
            <w:rStyle w:val="Hyperlink"/>
            <w:rFonts w:cstheme="minorHAnsi"/>
            <w:b/>
            <w:bCs/>
            <w:sz w:val="28"/>
            <w:szCs w:val="28"/>
            <w:lang w:val="en-US"/>
          </w:rPr>
          <w:t>.keylinks.org/#/list/934</w:t>
        </w:r>
      </w:hyperlink>
    </w:p>
    <w:p w14:paraId="253F2448" w14:textId="3E110155" w:rsidR="009012CE" w:rsidRDefault="009012CE" w:rsidP="00D00576">
      <w:pPr>
        <w:spacing w:after="0" w:line="240" w:lineRule="auto"/>
        <w:rPr>
          <w:lang w:val="en-US"/>
        </w:rPr>
      </w:pPr>
    </w:p>
    <w:p w14:paraId="3C2925C1" w14:textId="0B670140" w:rsidR="009012CE" w:rsidRDefault="009012CE" w:rsidP="009012CE">
      <w:pPr>
        <w:pStyle w:val="Heading1"/>
      </w:pPr>
      <w:r>
        <w:t>Books to help you with academic skills:</w:t>
      </w:r>
    </w:p>
    <w:p w14:paraId="33174121" w14:textId="1C3221B7" w:rsidR="009012CE" w:rsidRDefault="009012CE" w:rsidP="009012CE">
      <w:pPr>
        <w:spacing w:after="11" w:line="243" w:lineRule="auto"/>
        <w:ind w:left="137" w:right="181" w:hanging="152"/>
        <w:rPr>
          <w:rFonts w:ascii="Calibri" w:eastAsia="Calibri" w:hAnsi="Calibri" w:cs="Calibri"/>
          <w:color w:val="000000"/>
          <w:sz w:val="24"/>
          <w:lang w:eastAsia="en-GB"/>
        </w:rPr>
      </w:pP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Burns, T., &amp; </w:t>
      </w:r>
      <w:proofErr w:type="spellStart"/>
      <w:r w:rsidRPr="009012CE">
        <w:rPr>
          <w:rFonts w:ascii="Calibri" w:eastAsia="Calibri" w:hAnsi="Calibri" w:cs="Calibri"/>
          <w:color w:val="000000"/>
          <w:sz w:val="24"/>
          <w:lang w:eastAsia="en-GB"/>
        </w:rPr>
        <w:t>Sinfield</w:t>
      </w:r>
      <w:proofErr w:type="spellEnd"/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, S. (2016). </w:t>
      </w:r>
      <w:r w:rsidRPr="009012CE">
        <w:rPr>
          <w:rFonts w:ascii="Calibri" w:eastAsia="Calibri" w:hAnsi="Calibri" w:cs="Calibri"/>
          <w:i/>
          <w:color w:val="000000"/>
          <w:sz w:val="24"/>
          <w:lang w:eastAsia="en-GB"/>
        </w:rPr>
        <w:t>Essential study Skills: The complete guide to success at University</w:t>
      </w: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 (4th ed.). Sage. </w:t>
      </w:r>
    </w:p>
    <w:p w14:paraId="4A4435AF" w14:textId="77777777" w:rsidR="009012CE" w:rsidRDefault="009012CE" w:rsidP="009012CE">
      <w:pPr>
        <w:spacing w:after="11" w:line="243" w:lineRule="auto"/>
        <w:ind w:left="137" w:right="181" w:hanging="152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28E9ACBA" w14:textId="35CC4A00" w:rsidR="009012CE" w:rsidRDefault="009012CE" w:rsidP="009012CE">
      <w:pPr>
        <w:spacing w:after="11" w:line="243" w:lineRule="auto"/>
        <w:ind w:left="137" w:right="13" w:hanging="152"/>
        <w:rPr>
          <w:rFonts w:ascii="Calibri" w:eastAsia="Calibri" w:hAnsi="Calibri" w:cs="Calibri"/>
          <w:color w:val="000000"/>
          <w:sz w:val="24"/>
          <w:lang w:eastAsia="en-GB"/>
        </w:rPr>
      </w:pP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Cottrell, S. (2015). </w:t>
      </w:r>
      <w:r w:rsidRPr="009012CE">
        <w:rPr>
          <w:rFonts w:ascii="Calibri" w:eastAsia="Calibri" w:hAnsi="Calibri" w:cs="Calibri"/>
          <w:i/>
          <w:color w:val="000000"/>
          <w:sz w:val="24"/>
          <w:lang w:eastAsia="en-GB"/>
        </w:rPr>
        <w:t>Skills for success: Personal development and employability</w:t>
      </w: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 (3</w:t>
      </w:r>
      <w:r w:rsidRPr="009012CE">
        <w:rPr>
          <w:rFonts w:ascii="Calibri" w:eastAsia="Calibri" w:hAnsi="Calibri" w:cs="Calibri"/>
          <w:color w:val="000000"/>
          <w:sz w:val="24"/>
          <w:vertAlign w:val="superscript"/>
          <w:lang w:eastAsia="en-GB"/>
        </w:rPr>
        <w:t>rd</w:t>
      </w: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 ed.). Palgrave Macmillan. </w:t>
      </w:r>
    </w:p>
    <w:p w14:paraId="793FAA27" w14:textId="77777777" w:rsidR="009012CE" w:rsidRPr="009012CE" w:rsidRDefault="009012CE" w:rsidP="009012CE">
      <w:pPr>
        <w:spacing w:after="11" w:line="243" w:lineRule="auto"/>
        <w:ind w:left="137" w:right="13" w:hanging="152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5DC9514D" w14:textId="1A6F974D" w:rsidR="009012CE" w:rsidRDefault="009012CE" w:rsidP="009012CE">
      <w:pPr>
        <w:spacing w:after="11" w:line="243" w:lineRule="auto"/>
        <w:ind w:left="-15" w:right="13"/>
        <w:rPr>
          <w:rFonts w:ascii="Calibri" w:eastAsia="Calibri" w:hAnsi="Calibri" w:cs="Calibri"/>
          <w:color w:val="000000"/>
          <w:sz w:val="24"/>
          <w:lang w:eastAsia="en-GB"/>
        </w:rPr>
      </w:pP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Godfrey, J. (2013). </w:t>
      </w:r>
      <w:r w:rsidRPr="009012CE">
        <w:rPr>
          <w:rFonts w:ascii="Calibri" w:eastAsia="Calibri" w:hAnsi="Calibri" w:cs="Calibri"/>
          <w:i/>
          <w:color w:val="000000"/>
          <w:sz w:val="24"/>
          <w:lang w:eastAsia="en-GB"/>
        </w:rPr>
        <w:t>The student phrasebook: Vocabulary for writing at university</w:t>
      </w: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. Palgrave Macmillan. </w:t>
      </w:r>
    </w:p>
    <w:p w14:paraId="460C25A3" w14:textId="77777777" w:rsidR="009012CE" w:rsidRDefault="009012CE" w:rsidP="009012CE">
      <w:pPr>
        <w:spacing w:after="11" w:line="243" w:lineRule="auto"/>
        <w:ind w:left="-15" w:right="13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6E8E760B" w14:textId="5B0CAEB0" w:rsidR="009012CE" w:rsidRDefault="009012CE" w:rsidP="009012CE">
      <w:pPr>
        <w:spacing w:after="12" w:line="250" w:lineRule="auto"/>
        <w:ind w:left="142" w:hanging="142"/>
        <w:rPr>
          <w:rFonts w:ascii="Calibri" w:eastAsia="Calibri" w:hAnsi="Calibri" w:cs="Calibri"/>
          <w:color w:val="000000"/>
          <w:sz w:val="24"/>
          <w:lang w:eastAsia="en-GB"/>
        </w:rPr>
      </w:pP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Harrison, M., </w:t>
      </w:r>
      <w:proofErr w:type="spellStart"/>
      <w:r w:rsidRPr="009012CE">
        <w:rPr>
          <w:rFonts w:ascii="Calibri" w:eastAsia="Calibri" w:hAnsi="Calibri" w:cs="Calibri"/>
          <w:color w:val="000000"/>
          <w:sz w:val="24"/>
          <w:lang w:eastAsia="en-GB"/>
        </w:rPr>
        <w:t>Jakeman</w:t>
      </w:r>
      <w:proofErr w:type="spellEnd"/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, V., &amp; Paterson, K. (2016). </w:t>
      </w:r>
      <w:r w:rsidRPr="009012CE">
        <w:rPr>
          <w:rFonts w:ascii="Calibri" w:eastAsia="Calibri" w:hAnsi="Calibri" w:cs="Calibri"/>
          <w:i/>
          <w:color w:val="000000"/>
          <w:sz w:val="24"/>
          <w:lang w:eastAsia="en-GB"/>
        </w:rPr>
        <w:t>Improve your grammar: The essential guide to accurate writing</w:t>
      </w: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 (2</w:t>
      </w:r>
      <w:r w:rsidRPr="009012CE">
        <w:rPr>
          <w:rFonts w:ascii="Calibri" w:eastAsia="Calibri" w:hAnsi="Calibri" w:cs="Calibri"/>
          <w:color w:val="000000"/>
          <w:sz w:val="24"/>
          <w:vertAlign w:val="superscript"/>
          <w:lang w:eastAsia="en-GB"/>
        </w:rPr>
        <w:t>nd</w:t>
      </w:r>
      <w:r w:rsidRPr="009012CE">
        <w:rPr>
          <w:rFonts w:ascii="Calibri" w:eastAsia="Calibri" w:hAnsi="Calibri" w:cs="Calibri"/>
          <w:color w:val="000000"/>
          <w:sz w:val="24"/>
          <w:lang w:eastAsia="en-GB"/>
        </w:rPr>
        <w:t xml:space="preserve"> ed.). Palgrave Macmillan. </w:t>
      </w:r>
    </w:p>
    <w:p w14:paraId="109672ED" w14:textId="77777777" w:rsidR="009012CE" w:rsidRPr="009012CE" w:rsidRDefault="009012CE" w:rsidP="009012CE">
      <w:pPr>
        <w:spacing w:after="12" w:line="250" w:lineRule="auto"/>
        <w:ind w:left="142" w:hanging="142"/>
        <w:rPr>
          <w:rFonts w:ascii="Calibri" w:eastAsia="Calibri" w:hAnsi="Calibri" w:cs="Calibri"/>
          <w:color w:val="000000"/>
          <w:sz w:val="24"/>
          <w:lang w:eastAsia="en-GB"/>
        </w:rPr>
      </w:pPr>
    </w:p>
    <w:p w14:paraId="1B4BD0D4" w14:textId="4BCF28A3" w:rsidR="009012CE" w:rsidRPr="00BF7DA8" w:rsidRDefault="009012CE" w:rsidP="009012CE">
      <w:pPr>
        <w:pStyle w:val="Heading1"/>
      </w:pPr>
      <w:r w:rsidRPr="00BF7DA8">
        <w:t>Books to help you develop your subject specific knowledge and understanding:</w:t>
      </w:r>
    </w:p>
    <w:p w14:paraId="6556CC21" w14:textId="732A1A76" w:rsidR="00BF7DA8" w:rsidRPr="00BF7DA8" w:rsidRDefault="00BF7DA8" w:rsidP="00BF7DA8">
      <w:pPr>
        <w:rPr>
          <w:b/>
          <w:bCs/>
          <w:sz w:val="24"/>
          <w:szCs w:val="24"/>
        </w:rPr>
      </w:pPr>
      <w:r w:rsidRPr="00BF7DA8">
        <w:rPr>
          <w:b/>
          <w:bCs/>
          <w:sz w:val="24"/>
          <w:szCs w:val="24"/>
        </w:rPr>
        <w:t xml:space="preserve">Physical Education Specific </w:t>
      </w:r>
    </w:p>
    <w:p w14:paraId="56225182" w14:textId="46971694" w:rsidR="009012CE" w:rsidRPr="00BF7DA8" w:rsidRDefault="009012CE" w:rsidP="009012CE">
      <w:pPr>
        <w:pStyle w:val="Heading1"/>
        <w:rPr>
          <w:b w:val="0"/>
          <w:bCs w:val="0"/>
        </w:rPr>
      </w:pPr>
      <w:r w:rsidRPr="00BF7DA8">
        <w:rPr>
          <w:b w:val="0"/>
          <w:bCs w:val="0"/>
        </w:rPr>
        <w:t>Armour, K. (2011). Sport Pedagogy: An Introduction for Teaching and Coaching (1st ed.). Routledge.</w:t>
      </w:r>
    </w:p>
    <w:p w14:paraId="0B76E35C" w14:textId="77777777" w:rsidR="009012CE" w:rsidRPr="00BF7DA8" w:rsidRDefault="009012CE" w:rsidP="009012CE">
      <w:pPr>
        <w:pStyle w:val="Heading1"/>
        <w:rPr>
          <w:b w:val="0"/>
          <w:bCs w:val="0"/>
        </w:rPr>
      </w:pPr>
      <w:r w:rsidRPr="00BF7DA8">
        <w:rPr>
          <w:b w:val="0"/>
          <w:bCs w:val="0"/>
        </w:rPr>
        <w:t xml:space="preserve">Fletcher, T., </w:t>
      </w:r>
      <w:proofErr w:type="spellStart"/>
      <w:r w:rsidRPr="00BF7DA8">
        <w:rPr>
          <w:b w:val="0"/>
          <w:bCs w:val="0"/>
        </w:rPr>
        <w:t>Chróinín</w:t>
      </w:r>
      <w:proofErr w:type="spellEnd"/>
      <w:r w:rsidRPr="00BF7DA8">
        <w:rPr>
          <w:b w:val="0"/>
          <w:bCs w:val="0"/>
        </w:rPr>
        <w:t xml:space="preserve">, D.N, </w:t>
      </w:r>
      <w:proofErr w:type="spellStart"/>
      <w:r w:rsidRPr="00BF7DA8">
        <w:rPr>
          <w:b w:val="0"/>
          <w:bCs w:val="0"/>
        </w:rPr>
        <w:t>Gleddie</w:t>
      </w:r>
      <w:proofErr w:type="spellEnd"/>
      <w:r w:rsidRPr="00BF7DA8">
        <w:rPr>
          <w:b w:val="0"/>
          <w:bCs w:val="0"/>
        </w:rPr>
        <w:t xml:space="preserve">, D. &amp; Beni, S. (2021). </w:t>
      </w:r>
      <w:r w:rsidRPr="00BF7DA8">
        <w:rPr>
          <w:b w:val="0"/>
          <w:bCs w:val="0"/>
          <w:i/>
          <w:iCs/>
        </w:rPr>
        <w:t xml:space="preserve">Meaningful Physical Education </w:t>
      </w:r>
      <w:r w:rsidRPr="00BF7DA8">
        <w:rPr>
          <w:b w:val="0"/>
          <w:bCs w:val="0"/>
        </w:rPr>
        <w:br/>
      </w:r>
      <w:r w:rsidRPr="00BF7DA8">
        <w:rPr>
          <w:b w:val="0"/>
          <w:bCs w:val="0"/>
          <w:i/>
          <w:iCs/>
        </w:rPr>
        <w:t xml:space="preserve">An Approach for Teaching and Learning. </w:t>
      </w:r>
      <w:r w:rsidRPr="00BF7DA8">
        <w:rPr>
          <w:b w:val="0"/>
          <w:bCs w:val="0"/>
        </w:rPr>
        <w:t>Routledge.</w:t>
      </w:r>
    </w:p>
    <w:p w14:paraId="6AFCF71E" w14:textId="77777777" w:rsidR="009012CE" w:rsidRPr="00BF7DA8" w:rsidRDefault="009012CE" w:rsidP="009012CE">
      <w:pPr>
        <w:spacing w:line="240" w:lineRule="auto"/>
        <w:ind w:left="720" w:hanging="720"/>
        <w:rPr>
          <w:rFonts w:eastAsiaTheme="minorEastAsia"/>
          <w:sz w:val="24"/>
          <w:szCs w:val="24"/>
        </w:rPr>
      </w:pPr>
      <w:r w:rsidRPr="00BF7DA8">
        <w:rPr>
          <w:rFonts w:eastAsiaTheme="minorEastAsia"/>
          <w:sz w:val="24"/>
          <w:szCs w:val="24"/>
        </w:rPr>
        <w:t>Griggs, G and V. Randall (2022) </w:t>
      </w:r>
      <w:r w:rsidRPr="00BF7DA8">
        <w:rPr>
          <w:rFonts w:eastAsiaTheme="minorEastAsia"/>
          <w:i/>
          <w:iCs/>
          <w:sz w:val="24"/>
          <w:szCs w:val="24"/>
        </w:rPr>
        <w:t>An Introduction to Primary Physical Education</w:t>
      </w:r>
      <w:r w:rsidRPr="00BF7DA8">
        <w:rPr>
          <w:rFonts w:eastAsiaTheme="minorEastAsia"/>
          <w:sz w:val="24"/>
          <w:szCs w:val="24"/>
        </w:rPr>
        <w:t> (2</w:t>
      </w:r>
      <w:r w:rsidRPr="00BF7DA8">
        <w:rPr>
          <w:rFonts w:eastAsiaTheme="minorEastAsia"/>
          <w:sz w:val="24"/>
          <w:szCs w:val="24"/>
          <w:vertAlign w:val="superscript"/>
        </w:rPr>
        <w:t>nd</w:t>
      </w:r>
      <w:r w:rsidRPr="00BF7DA8">
        <w:rPr>
          <w:rFonts w:eastAsiaTheme="minorEastAsia"/>
          <w:sz w:val="24"/>
          <w:szCs w:val="24"/>
        </w:rPr>
        <w:t> Edition) London: Routledge</w:t>
      </w:r>
    </w:p>
    <w:p w14:paraId="05A12AAB" w14:textId="77777777" w:rsidR="009012CE" w:rsidRPr="00BF7DA8" w:rsidRDefault="009012CE" w:rsidP="009012CE">
      <w:pPr>
        <w:spacing w:line="240" w:lineRule="auto"/>
        <w:rPr>
          <w:rFonts w:eastAsiaTheme="minorEastAsia"/>
          <w:sz w:val="24"/>
          <w:szCs w:val="24"/>
        </w:rPr>
      </w:pPr>
      <w:r w:rsidRPr="00BF7DA8">
        <w:rPr>
          <w:rFonts w:eastAsiaTheme="minorEastAsia"/>
          <w:sz w:val="24"/>
          <w:szCs w:val="24"/>
        </w:rPr>
        <w:t xml:space="preserve">Harris, J. &amp; Cale. L. (2019). </w:t>
      </w:r>
      <w:r w:rsidRPr="00BF7DA8">
        <w:rPr>
          <w:rFonts w:eastAsiaTheme="minorEastAsia"/>
          <w:i/>
          <w:iCs/>
          <w:sz w:val="24"/>
          <w:szCs w:val="24"/>
        </w:rPr>
        <w:t>Promoting Active Lifestyles in Schools</w:t>
      </w:r>
      <w:r w:rsidRPr="00BF7DA8">
        <w:rPr>
          <w:rFonts w:eastAsiaTheme="minorEastAsia"/>
          <w:sz w:val="24"/>
          <w:szCs w:val="24"/>
        </w:rPr>
        <w:t>. Human Kinetics.</w:t>
      </w:r>
    </w:p>
    <w:p w14:paraId="0574361E" w14:textId="6C3BE5D8" w:rsidR="009012CE" w:rsidRPr="00BF7DA8" w:rsidRDefault="009012CE" w:rsidP="009012CE">
      <w:pPr>
        <w:spacing w:line="240" w:lineRule="auto"/>
        <w:rPr>
          <w:rFonts w:eastAsiaTheme="minorEastAsia"/>
          <w:sz w:val="24"/>
          <w:szCs w:val="24"/>
        </w:rPr>
      </w:pPr>
      <w:proofErr w:type="spellStart"/>
      <w:r w:rsidRPr="00BF7DA8">
        <w:rPr>
          <w:rFonts w:eastAsiaTheme="minorEastAsia"/>
          <w:sz w:val="24"/>
          <w:szCs w:val="24"/>
        </w:rPr>
        <w:t>Stidder</w:t>
      </w:r>
      <w:proofErr w:type="spellEnd"/>
      <w:r w:rsidRPr="00BF7DA8">
        <w:rPr>
          <w:rFonts w:eastAsiaTheme="minorEastAsia"/>
          <w:sz w:val="24"/>
          <w:szCs w:val="24"/>
        </w:rPr>
        <w:t xml:space="preserve">, G. (2015). </w:t>
      </w:r>
      <w:r w:rsidRPr="00BF7DA8">
        <w:rPr>
          <w:rFonts w:eastAsiaTheme="minorEastAsia"/>
          <w:i/>
          <w:iCs/>
          <w:sz w:val="24"/>
          <w:szCs w:val="24"/>
        </w:rPr>
        <w:t xml:space="preserve">Becoming a Physical Education Teacher </w:t>
      </w:r>
      <w:r w:rsidRPr="00BF7DA8">
        <w:rPr>
          <w:rFonts w:eastAsiaTheme="minorEastAsia"/>
          <w:sz w:val="24"/>
          <w:szCs w:val="24"/>
        </w:rPr>
        <w:t xml:space="preserve">(1st ed.). Routledge. </w:t>
      </w:r>
    </w:p>
    <w:p w14:paraId="50ED706D" w14:textId="3FFEE13C" w:rsidR="00BF7DA8" w:rsidRDefault="00BF7DA8" w:rsidP="009012CE">
      <w:pPr>
        <w:spacing w:line="240" w:lineRule="auto"/>
        <w:rPr>
          <w:rFonts w:eastAsiaTheme="minorEastAsia"/>
        </w:rPr>
      </w:pPr>
    </w:p>
    <w:p w14:paraId="30139A42" w14:textId="7B57ABD9" w:rsidR="00BF7DA8" w:rsidRPr="00BF7DA8" w:rsidRDefault="00BF7DA8" w:rsidP="009012CE">
      <w:pPr>
        <w:spacing w:line="240" w:lineRule="auto"/>
        <w:rPr>
          <w:rFonts w:eastAsiaTheme="minorEastAsia"/>
          <w:b/>
          <w:bCs/>
          <w:sz w:val="24"/>
          <w:szCs w:val="24"/>
        </w:rPr>
      </w:pPr>
      <w:r w:rsidRPr="00BF7DA8">
        <w:rPr>
          <w:rFonts w:eastAsiaTheme="minorEastAsia"/>
          <w:b/>
          <w:bCs/>
          <w:sz w:val="24"/>
          <w:szCs w:val="24"/>
        </w:rPr>
        <w:t>Dance Specific:</w:t>
      </w:r>
    </w:p>
    <w:p w14:paraId="6D68A827" w14:textId="489B6CB6" w:rsidR="00BF7DA8" w:rsidRDefault="00BF7DA8" w:rsidP="009012CE">
      <w:pPr>
        <w:spacing w:line="240" w:lineRule="auto"/>
        <w:rPr>
          <w:rFonts w:eastAsiaTheme="minorEastAsia"/>
        </w:rPr>
      </w:pPr>
      <w:r w:rsidRPr="00BF7DA8">
        <w:rPr>
          <w:rFonts w:ascii="Calibri" w:hAnsi="Calibri"/>
          <w:i/>
          <w:sz w:val="24"/>
          <w:szCs w:val="24"/>
        </w:rPr>
        <w:br/>
      </w:r>
      <w:proofErr w:type="spellStart"/>
      <w:r w:rsidRPr="00BF7DA8">
        <w:rPr>
          <w:rFonts w:ascii="Calibri" w:hAnsi="Calibri"/>
          <w:iCs/>
          <w:sz w:val="24"/>
          <w:szCs w:val="24"/>
        </w:rPr>
        <w:t>Buckroyd</w:t>
      </w:r>
      <w:proofErr w:type="spellEnd"/>
      <w:r w:rsidRPr="00BF7DA8">
        <w:rPr>
          <w:rFonts w:ascii="Calibri" w:hAnsi="Calibri"/>
          <w:iCs/>
          <w:sz w:val="24"/>
          <w:szCs w:val="24"/>
        </w:rPr>
        <w:t>, J. (2000).</w:t>
      </w:r>
      <w:r w:rsidRPr="00BF7DA8">
        <w:rPr>
          <w:rFonts w:ascii="Calibri" w:hAnsi="Calibri"/>
          <w:i/>
          <w:sz w:val="24"/>
          <w:szCs w:val="24"/>
        </w:rPr>
        <w:t xml:space="preserve"> The Student Dancer: Emotional Aspects of Teaching and Learning Dance. </w:t>
      </w:r>
      <w:r w:rsidRPr="00BF7DA8">
        <w:rPr>
          <w:rFonts w:ascii="Calibri" w:hAnsi="Calibri"/>
          <w:iCs/>
          <w:sz w:val="24"/>
          <w:szCs w:val="24"/>
        </w:rPr>
        <w:t>Dance Books</w:t>
      </w:r>
      <w:r w:rsidRPr="00BF7DA8">
        <w:rPr>
          <w:rFonts w:ascii="Calibri" w:hAnsi="Calibri"/>
          <w:iCs/>
          <w:sz w:val="24"/>
          <w:szCs w:val="24"/>
        </w:rPr>
        <w:br/>
      </w:r>
      <w:r w:rsidRPr="00BF7DA8">
        <w:rPr>
          <w:rFonts w:ascii="Calibri" w:hAnsi="Calibri"/>
          <w:iCs/>
          <w:sz w:val="24"/>
          <w:szCs w:val="24"/>
        </w:rPr>
        <w:br/>
        <w:t>Legg, J. (2011)</w:t>
      </w:r>
      <w:r w:rsidRPr="00BF7DA8">
        <w:rPr>
          <w:rFonts w:ascii="Calibri" w:hAnsi="Calibri"/>
          <w:i/>
          <w:sz w:val="24"/>
          <w:szCs w:val="24"/>
        </w:rPr>
        <w:t xml:space="preserve"> Introduction to Modern Dance Techniques: Cunningham, Dunham, Graham, Hawkins, Horton, </w:t>
      </w:r>
      <w:proofErr w:type="spellStart"/>
      <w:r w:rsidRPr="00BF7DA8">
        <w:rPr>
          <w:rFonts w:ascii="Calibri" w:hAnsi="Calibri"/>
          <w:i/>
          <w:sz w:val="24"/>
          <w:szCs w:val="24"/>
        </w:rPr>
        <w:t>Humprey</w:t>
      </w:r>
      <w:proofErr w:type="spellEnd"/>
      <w:r w:rsidRPr="00BF7DA8">
        <w:rPr>
          <w:rFonts w:ascii="Calibri" w:hAnsi="Calibri"/>
          <w:i/>
          <w:sz w:val="24"/>
          <w:szCs w:val="24"/>
        </w:rPr>
        <w:t xml:space="preserve">, Limon, </w:t>
      </w:r>
      <w:proofErr w:type="spellStart"/>
      <w:r w:rsidRPr="00BF7DA8">
        <w:rPr>
          <w:rFonts w:ascii="Calibri" w:hAnsi="Calibri"/>
          <w:i/>
          <w:sz w:val="24"/>
          <w:szCs w:val="24"/>
        </w:rPr>
        <w:t>Nikolais</w:t>
      </w:r>
      <w:proofErr w:type="spellEnd"/>
      <w:r w:rsidRPr="00BF7DA8">
        <w:rPr>
          <w:rFonts w:ascii="Calibri" w:hAnsi="Calibri"/>
          <w:i/>
          <w:sz w:val="24"/>
          <w:szCs w:val="24"/>
        </w:rPr>
        <w:t xml:space="preserve">/Louis, Taylor. </w:t>
      </w:r>
      <w:r w:rsidRPr="00BF7DA8">
        <w:rPr>
          <w:rFonts w:ascii="Calibri" w:hAnsi="Calibri"/>
          <w:iCs/>
          <w:sz w:val="24"/>
          <w:szCs w:val="24"/>
        </w:rPr>
        <w:t>Princeton Book Company</w:t>
      </w:r>
      <w:r w:rsidRPr="00BF7DA8">
        <w:rPr>
          <w:rFonts w:ascii="Calibri" w:hAnsi="Calibri"/>
          <w:i/>
          <w:sz w:val="24"/>
          <w:szCs w:val="24"/>
        </w:rPr>
        <w:br/>
      </w:r>
      <w:r w:rsidRPr="00BF7DA8">
        <w:rPr>
          <w:rFonts w:ascii="Calibri" w:hAnsi="Calibri"/>
          <w:i/>
          <w:sz w:val="24"/>
          <w:szCs w:val="24"/>
        </w:rPr>
        <w:br/>
      </w:r>
      <w:proofErr w:type="spellStart"/>
      <w:r w:rsidRPr="00BF7DA8">
        <w:rPr>
          <w:rFonts w:ascii="Calibri" w:hAnsi="Calibri"/>
          <w:iCs/>
          <w:sz w:val="24"/>
          <w:szCs w:val="24"/>
        </w:rPr>
        <w:t>Pallant</w:t>
      </w:r>
      <w:proofErr w:type="spellEnd"/>
      <w:r w:rsidRPr="00BF7DA8">
        <w:rPr>
          <w:rFonts w:ascii="Calibri" w:hAnsi="Calibri"/>
          <w:iCs/>
          <w:sz w:val="24"/>
          <w:szCs w:val="24"/>
        </w:rPr>
        <w:t>, C. (2006)</w:t>
      </w:r>
      <w:r w:rsidRPr="00BF7DA8">
        <w:rPr>
          <w:rFonts w:ascii="Calibri" w:hAnsi="Calibri"/>
          <w:i/>
          <w:sz w:val="24"/>
          <w:szCs w:val="24"/>
        </w:rPr>
        <w:t xml:space="preserve"> Contact </w:t>
      </w:r>
      <w:proofErr w:type="spellStart"/>
      <w:r w:rsidRPr="00BF7DA8">
        <w:rPr>
          <w:rFonts w:ascii="Calibri" w:hAnsi="Calibri"/>
          <w:i/>
          <w:sz w:val="24"/>
          <w:szCs w:val="24"/>
        </w:rPr>
        <w:t>Improvisiation</w:t>
      </w:r>
      <w:proofErr w:type="spellEnd"/>
      <w:r w:rsidRPr="00BF7DA8">
        <w:rPr>
          <w:rFonts w:ascii="Calibri" w:hAnsi="Calibri"/>
          <w:i/>
          <w:sz w:val="24"/>
          <w:szCs w:val="24"/>
        </w:rPr>
        <w:t xml:space="preserve">: An Introduction to a Vitalizing Dance Form. </w:t>
      </w:r>
      <w:r w:rsidRPr="00BF7DA8">
        <w:rPr>
          <w:rFonts w:ascii="Calibri" w:hAnsi="Calibri"/>
          <w:iCs/>
          <w:sz w:val="24"/>
          <w:szCs w:val="24"/>
        </w:rPr>
        <w:t>McFarland and Co. Inc.</w:t>
      </w:r>
      <w:r w:rsidRPr="00BF7DA8">
        <w:rPr>
          <w:rFonts w:ascii="Calibri" w:hAnsi="Calibri"/>
          <w:iCs/>
          <w:sz w:val="24"/>
          <w:szCs w:val="24"/>
        </w:rPr>
        <w:br/>
      </w:r>
      <w:r w:rsidRPr="00BF7DA8">
        <w:rPr>
          <w:rFonts w:ascii="Calibri" w:hAnsi="Calibri"/>
          <w:i/>
          <w:sz w:val="24"/>
          <w:szCs w:val="24"/>
        </w:rPr>
        <w:br/>
      </w:r>
      <w:proofErr w:type="spellStart"/>
      <w:r w:rsidRPr="00BF7DA8">
        <w:rPr>
          <w:rFonts w:ascii="Calibri" w:hAnsi="Calibri"/>
          <w:iCs/>
          <w:sz w:val="24"/>
          <w:szCs w:val="24"/>
        </w:rPr>
        <w:t>Spatz</w:t>
      </w:r>
      <w:proofErr w:type="spellEnd"/>
      <w:r w:rsidRPr="00BF7DA8">
        <w:rPr>
          <w:rFonts w:ascii="Calibri" w:hAnsi="Calibri"/>
          <w:iCs/>
          <w:sz w:val="24"/>
          <w:szCs w:val="24"/>
        </w:rPr>
        <w:t>, B. (2015)</w:t>
      </w:r>
      <w:r w:rsidRPr="00BF7DA8">
        <w:rPr>
          <w:rFonts w:ascii="Calibri" w:hAnsi="Calibri"/>
          <w:i/>
          <w:sz w:val="24"/>
          <w:szCs w:val="24"/>
        </w:rPr>
        <w:t xml:space="preserve"> What a Body Can Do: Technique as Knowledge, Practice as Research. </w:t>
      </w:r>
      <w:r w:rsidRPr="00BF7DA8">
        <w:rPr>
          <w:rFonts w:ascii="Calibri" w:hAnsi="Calibri"/>
          <w:iCs/>
          <w:sz w:val="24"/>
          <w:szCs w:val="24"/>
        </w:rPr>
        <w:t>Routledge</w:t>
      </w:r>
      <w:r w:rsidRPr="00BF7DA8">
        <w:rPr>
          <w:rFonts w:ascii="Calibri" w:hAnsi="Calibri"/>
          <w:iCs/>
          <w:sz w:val="24"/>
          <w:szCs w:val="24"/>
        </w:rPr>
        <w:br/>
      </w:r>
      <w:r w:rsidRPr="00BF7DA8">
        <w:rPr>
          <w:rFonts w:ascii="Calibri" w:hAnsi="Calibri"/>
          <w:iCs/>
          <w:sz w:val="20"/>
          <w:szCs w:val="20"/>
        </w:rPr>
        <w:br/>
      </w:r>
      <w:r w:rsidRPr="00CF4A4C">
        <w:rPr>
          <w:rFonts w:ascii="Calibri" w:hAnsi="Calibri"/>
          <w:i/>
          <w:sz w:val="20"/>
          <w:szCs w:val="20"/>
        </w:rPr>
        <w:br/>
      </w:r>
    </w:p>
    <w:p w14:paraId="6D2E9DA7" w14:textId="77777777" w:rsidR="00BF7DA8" w:rsidRDefault="00BF7DA8" w:rsidP="009012CE">
      <w:pPr>
        <w:spacing w:line="240" w:lineRule="auto"/>
        <w:rPr>
          <w:rFonts w:eastAsiaTheme="minorEastAsia"/>
        </w:rPr>
      </w:pPr>
    </w:p>
    <w:sectPr w:rsidR="00BF7DA8" w:rsidSect="00D00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CE"/>
    <w:rsid w:val="009012CE"/>
    <w:rsid w:val="00BF7DA8"/>
    <w:rsid w:val="00D0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5CA0"/>
  <w15:chartTrackingRefBased/>
  <w15:docId w15:val="{E28DFA0B-94C3-4035-B379-5E9AFFE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12CE"/>
    <w:pPr>
      <w:spacing w:before="120" w:after="120" w:line="240" w:lineRule="auto"/>
      <w:ind w:left="720" w:hanging="720"/>
      <w:outlineLvl w:val="0"/>
    </w:pPr>
    <w:rPr>
      <w:rFonts w:eastAsiaTheme="minorEastAsia"/>
      <w:b/>
      <w:bCs/>
      <w:color w:val="212529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012CE"/>
    <w:pPr>
      <w:spacing w:before="240" w:after="240" w:line="240" w:lineRule="auto"/>
      <w:ind w:left="113"/>
      <w:outlineLvl w:val="2"/>
    </w:pPr>
    <w:rPr>
      <w:rFonts w:eastAsia="Times New Roman"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CE"/>
    <w:rPr>
      <w:rFonts w:eastAsiaTheme="minorEastAsia"/>
      <w:b/>
      <w:bCs/>
      <w:color w:val="21252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12CE"/>
    <w:rPr>
      <w:rFonts w:eastAsia="Times New Roman" w:cstheme="minorHAns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jon.keylinks.org/#/list/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Eaton</dc:creator>
  <cp:keywords/>
  <dc:description/>
  <cp:lastModifiedBy>Julia Lambert</cp:lastModifiedBy>
  <cp:revision>2</cp:revision>
  <dcterms:created xsi:type="dcterms:W3CDTF">2022-06-01T08:07:00Z</dcterms:created>
  <dcterms:modified xsi:type="dcterms:W3CDTF">2022-06-01T08:07:00Z</dcterms:modified>
</cp:coreProperties>
</file>