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43C9" w14:textId="1569B07B" w:rsidR="00D22EC3" w:rsidRPr="00441140" w:rsidRDefault="0095204D" w:rsidP="00D22EC3">
      <w:pPr>
        <w:jc w:val="center"/>
        <w:rPr>
          <w:rFonts w:ascii="Calibri" w:hAnsi="Calibri" w:cs="Arial"/>
          <w:b/>
          <w:bCs/>
        </w:rPr>
      </w:pPr>
      <w:r w:rsidRPr="00F05E83">
        <w:rPr>
          <w:rFonts w:ascii="Calibri" w:hAnsi="Calibri" w:cs="Arial"/>
          <w:b/>
          <w:highlight w:val="yellow"/>
        </w:rPr>
        <w:t>Drama</w:t>
      </w:r>
      <w:r w:rsidR="00525508" w:rsidRPr="00525508">
        <w:rPr>
          <w:rFonts w:ascii="Calibri" w:hAnsi="Calibri" w:cs="Arial"/>
          <w:b/>
        </w:rPr>
        <w:t xml:space="preserve"> </w:t>
      </w:r>
      <w:r w:rsidR="00D22EC3" w:rsidRPr="00525508">
        <w:rPr>
          <w:rFonts w:ascii="Calibri" w:hAnsi="Calibri" w:cs="Arial"/>
          <w:b/>
          <w:bCs/>
        </w:rPr>
        <w:t>Initial</w:t>
      </w:r>
      <w:r w:rsidR="00D22EC3" w:rsidRPr="00441140">
        <w:rPr>
          <w:rFonts w:ascii="Calibri" w:hAnsi="Calibri" w:cs="Arial"/>
          <w:b/>
          <w:bCs/>
        </w:rPr>
        <w:t xml:space="preserve"> Teacher Training Secondary Partnership</w:t>
      </w:r>
    </w:p>
    <w:p w14:paraId="0DCC7E8B" w14:textId="77777777" w:rsidR="00D22EC3" w:rsidRPr="00441140" w:rsidRDefault="00D22EC3" w:rsidP="00D22EC3">
      <w:pPr>
        <w:jc w:val="center"/>
        <w:rPr>
          <w:rFonts w:ascii="Calibri" w:hAnsi="Calibri" w:cs="Arial"/>
          <w:b/>
          <w:bCs/>
        </w:rPr>
      </w:pPr>
      <w:r w:rsidRPr="00441140">
        <w:rPr>
          <w:rFonts w:ascii="Calibri" w:hAnsi="Calibri" w:cs="Arial"/>
          <w:b/>
          <w:bCs/>
        </w:rPr>
        <w:t>PRE-COURSE TASKS</w:t>
      </w:r>
    </w:p>
    <w:p w14:paraId="4429B6A9" w14:textId="77777777" w:rsidR="00D22EC3" w:rsidRPr="00441140" w:rsidRDefault="00D22EC3" w:rsidP="00D22EC3">
      <w:pPr>
        <w:rPr>
          <w:rFonts w:ascii="Calibri" w:hAnsi="Calibri" w:cs="Arial"/>
        </w:rPr>
      </w:pPr>
      <w:r w:rsidRPr="00441140">
        <w:rPr>
          <w:rFonts w:ascii="Calibri" w:hAnsi="Calibri" w:cs="Arial"/>
        </w:rPr>
        <w:t>Name of Trainee:</w:t>
      </w:r>
      <w:r w:rsidR="00525508">
        <w:rPr>
          <w:rFonts w:ascii="Calibri" w:hAnsi="Calibri" w:cs="Arial"/>
        </w:rPr>
        <w:t xml:space="preserve"> </w:t>
      </w:r>
    </w:p>
    <w:p w14:paraId="0F513F8C" w14:textId="77777777" w:rsidR="00D22EC3" w:rsidRPr="0021342B" w:rsidRDefault="00D22EC3" w:rsidP="00D22EC3">
      <w:pPr>
        <w:jc w:val="both"/>
        <w:rPr>
          <w:rFonts w:ascii="Calibri" w:hAnsi="Calibri" w:cs="Arial"/>
          <w:sz w:val="18"/>
          <w:szCs w:val="18"/>
        </w:rPr>
      </w:pPr>
    </w:p>
    <w:p w14:paraId="3AFFA2A5" w14:textId="77777777" w:rsidR="00D22EC3" w:rsidRPr="00441140" w:rsidRDefault="00D22EC3" w:rsidP="00D22EC3">
      <w:pPr>
        <w:jc w:val="both"/>
        <w:rPr>
          <w:rFonts w:ascii="Calibri" w:hAnsi="Calibri" w:cs="Arial"/>
          <w:sz w:val="22"/>
          <w:szCs w:val="22"/>
        </w:rPr>
      </w:pPr>
      <w:r w:rsidRPr="00441140">
        <w:rPr>
          <w:rFonts w:ascii="Calibri" w:hAnsi="Calibri" w:cs="Arial"/>
          <w:sz w:val="22"/>
          <w:szCs w:val="22"/>
        </w:rPr>
        <w:t xml:space="preserve">Welcome to the </w:t>
      </w:r>
      <w:r>
        <w:rPr>
          <w:rFonts w:ascii="Calibri" w:hAnsi="Calibri" w:cs="Arial"/>
          <w:sz w:val="22"/>
          <w:szCs w:val="22"/>
        </w:rPr>
        <w:t>PGCE</w:t>
      </w:r>
      <w:r w:rsidRPr="00441140">
        <w:rPr>
          <w:rFonts w:ascii="Calibri" w:hAnsi="Calibri" w:cs="Arial"/>
          <w:sz w:val="22"/>
          <w:szCs w:val="22"/>
        </w:rPr>
        <w:t xml:space="preserve"> Secondary Education and </w:t>
      </w:r>
      <w:r w:rsidR="0095204D">
        <w:rPr>
          <w:rFonts w:ascii="Calibri" w:hAnsi="Calibri" w:cs="Arial"/>
          <w:sz w:val="22"/>
          <w:szCs w:val="22"/>
        </w:rPr>
        <w:t>Drama</w:t>
      </w:r>
      <w:r w:rsidR="00525508" w:rsidRPr="00441140">
        <w:rPr>
          <w:rFonts w:ascii="Calibri" w:hAnsi="Calibri" w:cs="Arial"/>
          <w:sz w:val="22"/>
          <w:szCs w:val="22"/>
        </w:rPr>
        <w:t xml:space="preserve"> </w:t>
      </w:r>
      <w:r w:rsidRPr="00441140">
        <w:rPr>
          <w:rFonts w:ascii="Calibri" w:hAnsi="Calibri" w:cs="Arial"/>
          <w:sz w:val="22"/>
          <w:szCs w:val="22"/>
        </w:rPr>
        <w:t xml:space="preserve">programme.  In order to help you prepare for the demands of the course, particular pre-course tasks are specified below.  </w:t>
      </w:r>
    </w:p>
    <w:p w14:paraId="7C0F6409" w14:textId="77777777" w:rsidR="00D22EC3" w:rsidRPr="00441140" w:rsidRDefault="00D22EC3" w:rsidP="00D22EC3">
      <w:pPr>
        <w:jc w:val="both"/>
        <w:rPr>
          <w:rFonts w:ascii="Calibri" w:hAnsi="Calibri" w:cs="Arial"/>
          <w:sz w:val="22"/>
          <w:szCs w:val="22"/>
        </w:rPr>
      </w:pPr>
      <w:r w:rsidRPr="00441140">
        <w:rPr>
          <w:rFonts w:ascii="Calibri" w:hAnsi="Calibri" w:cs="Arial"/>
          <w:sz w:val="22"/>
          <w:szCs w:val="22"/>
        </w:rPr>
        <w:t>It is expected that you will work on these tasks before starting the course, and have experience/evidence that could be used to inform your Individual Learning Profile.  You will need to bring evidence of completion of these tasks with you to your first meeting with your University tutor at the beginning of the university programme.</w:t>
      </w:r>
    </w:p>
    <w:p w14:paraId="757DB423" w14:textId="77777777" w:rsidR="00D22EC3" w:rsidRPr="00441140" w:rsidRDefault="00D22EC3" w:rsidP="00D22EC3">
      <w:pPr>
        <w:rPr>
          <w:rFonts w:ascii="Calibri" w:hAnsi="Calibri" w:cs="Arial"/>
          <w:bCs/>
          <w:sz w:val="22"/>
          <w:szCs w:val="22"/>
        </w:rPr>
      </w:pPr>
    </w:p>
    <w:p w14:paraId="7274A11E" w14:textId="77777777" w:rsidR="00D22EC3" w:rsidRPr="00382E44" w:rsidRDefault="00D22EC3" w:rsidP="00D22EC3">
      <w:pPr>
        <w:rPr>
          <w:rFonts w:ascii="Calibri" w:hAnsi="Calibri" w:cs="Arial"/>
          <w:bCs/>
          <w:sz w:val="22"/>
          <w:szCs w:val="22"/>
        </w:rPr>
      </w:pPr>
      <w:r w:rsidRPr="00441140">
        <w:rPr>
          <w:rFonts w:ascii="Calibri" w:hAnsi="Calibri" w:cs="Arial"/>
          <w:bCs/>
          <w:sz w:val="22"/>
          <w:szCs w:val="22"/>
        </w:rPr>
        <w:t xml:space="preserve">You should start work immediately on the  </w:t>
      </w:r>
      <w:r w:rsidRPr="00441140">
        <w:rPr>
          <w:rFonts w:ascii="Calibri" w:hAnsi="Calibri" w:cs="Arial"/>
          <w:bCs/>
          <w:sz w:val="22"/>
          <w:szCs w:val="22"/>
        </w:rPr>
        <w:sym w:font="Wingdings" w:char="F0FC"/>
      </w:r>
      <w:r w:rsidRPr="00441140">
        <w:rPr>
          <w:rFonts w:ascii="Calibri" w:hAnsi="Calibri" w:cs="Arial"/>
          <w:bCs/>
          <w:sz w:val="22"/>
          <w:szCs w:val="22"/>
        </w:rPr>
        <w:t xml:space="preserve"> areas and the areas rated ‘d’ in your Subject Knowledge Audit.</w:t>
      </w:r>
    </w:p>
    <w:p w14:paraId="7F55E638" w14:textId="77777777" w:rsidR="00D22EC3" w:rsidRDefault="00D22EC3" w:rsidP="00D22EC3">
      <w:pPr>
        <w:rPr>
          <w:rFonts w:ascii="Arial" w:hAnsi="Arial" w:cs="Arial"/>
          <w:b/>
          <w:bCs/>
          <w:sz w:val="22"/>
        </w:rPr>
      </w:pPr>
    </w:p>
    <w:tbl>
      <w:tblPr>
        <w:tblW w:w="1111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15"/>
        <w:gridCol w:w="9976"/>
      </w:tblGrid>
      <w:tr w:rsidR="00FD1E3B" w:rsidRPr="00441140" w14:paraId="1052A846" w14:textId="77777777" w:rsidTr="001318C3">
        <w:tc>
          <w:tcPr>
            <w:tcW w:w="519" w:type="dxa"/>
          </w:tcPr>
          <w:p w14:paraId="1D6DE8F5" w14:textId="77777777" w:rsidR="00FD1E3B" w:rsidRPr="00441140" w:rsidRDefault="00FD1E3B" w:rsidP="00443B70">
            <w:pPr>
              <w:jc w:val="center"/>
              <w:rPr>
                <w:rFonts w:ascii="Calibri" w:hAnsi="Calibri" w:cs="Arial"/>
                <w:b/>
                <w:bCs/>
                <w:sz w:val="22"/>
              </w:rPr>
            </w:pPr>
          </w:p>
        </w:tc>
        <w:tc>
          <w:tcPr>
            <w:tcW w:w="615" w:type="dxa"/>
          </w:tcPr>
          <w:p w14:paraId="1C8EC72A" w14:textId="77777777" w:rsidR="00FD1E3B" w:rsidRPr="00441140" w:rsidRDefault="00FD1E3B" w:rsidP="00443B70">
            <w:pPr>
              <w:jc w:val="center"/>
              <w:rPr>
                <w:rFonts w:ascii="Calibri" w:hAnsi="Calibri" w:cs="Arial"/>
                <w:b/>
                <w:bCs/>
                <w:sz w:val="22"/>
              </w:rPr>
            </w:pPr>
            <w:r w:rsidRPr="00441140">
              <w:rPr>
                <w:rFonts w:ascii="Calibri" w:hAnsi="Calibri" w:cs="Arial"/>
                <w:b/>
                <w:bCs/>
                <w:sz w:val="22"/>
                <w:szCs w:val="22"/>
              </w:rPr>
              <w:t>No.</w:t>
            </w:r>
          </w:p>
        </w:tc>
        <w:tc>
          <w:tcPr>
            <w:tcW w:w="9976" w:type="dxa"/>
          </w:tcPr>
          <w:p w14:paraId="2C7B46AA" w14:textId="77777777" w:rsidR="00FD1E3B" w:rsidRPr="00441140" w:rsidRDefault="00FD1E3B" w:rsidP="00443B70">
            <w:pPr>
              <w:rPr>
                <w:rFonts w:ascii="Calibri" w:hAnsi="Calibri" w:cs="Arial"/>
                <w:b/>
                <w:bCs/>
                <w:sz w:val="22"/>
              </w:rPr>
            </w:pPr>
            <w:r w:rsidRPr="00441140">
              <w:rPr>
                <w:rFonts w:ascii="Calibri" w:hAnsi="Calibri" w:cs="Arial"/>
                <w:b/>
                <w:bCs/>
                <w:sz w:val="22"/>
                <w:szCs w:val="22"/>
              </w:rPr>
              <w:t xml:space="preserve">Tasks </w:t>
            </w:r>
          </w:p>
        </w:tc>
      </w:tr>
      <w:tr w:rsidR="009A1C03" w:rsidRPr="00441140" w14:paraId="6D45F5F2" w14:textId="77777777" w:rsidTr="001318C3">
        <w:tc>
          <w:tcPr>
            <w:tcW w:w="519" w:type="dxa"/>
          </w:tcPr>
          <w:p w14:paraId="4E0E47F7" w14:textId="77777777" w:rsidR="009A1C03" w:rsidRDefault="009A1C03">
            <w:pPr>
              <w:rPr>
                <w:rFonts w:ascii="Calibri" w:hAnsi="Calibri" w:cs="Arial"/>
                <w:bCs/>
                <w:sz w:val="22"/>
              </w:rPr>
            </w:pPr>
            <w:r w:rsidRPr="006D363C">
              <w:rPr>
                <w:rFonts w:ascii="Calibri" w:hAnsi="Calibri" w:cs="Arial"/>
                <w:bCs/>
                <w:sz w:val="22"/>
                <w:szCs w:val="22"/>
              </w:rPr>
              <w:sym w:font="Wingdings" w:char="F0FC"/>
            </w:r>
          </w:p>
          <w:p w14:paraId="14EBB3F6" w14:textId="77777777" w:rsidR="00C47634" w:rsidRDefault="00C47634">
            <w:pPr>
              <w:rPr>
                <w:rFonts w:cs="Arial"/>
                <w:bCs/>
                <w:sz w:val="22"/>
              </w:rPr>
            </w:pPr>
          </w:p>
          <w:p w14:paraId="3163A70E" w14:textId="77777777" w:rsidR="00071B0D" w:rsidRDefault="00071B0D"/>
        </w:tc>
        <w:tc>
          <w:tcPr>
            <w:tcW w:w="615" w:type="dxa"/>
          </w:tcPr>
          <w:p w14:paraId="570C90E3" w14:textId="77777777" w:rsidR="009A1C03" w:rsidRPr="00E36962" w:rsidRDefault="009A1C03" w:rsidP="00443B70">
            <w:pPr>
              <w:jc w:val="center"/>
              <w:rPr>
                <w:rFonts w:ascii="Calibri" w:hAnsi="Calibri" w:cs="Arial"/>
                <w:sz w:val="22"/>
              </w:rPr>
            </w:pPr>
            <w:r w:rsidRPr="00E36962">
              <w:rPr>
                <w:rFonts w:ascii="Calibri" w:hAnsi="Calibri" w:cs="Arial"/>
                <w:sz w:val="22"/>
                <w:szCs w:val="22"/>
              </w:rPr>
              <w:t>1</w:t>
            </w:r>
            <w:r w:rsidR="00A66E09">
              <w:rPr>
                <w:rFonts w:ascii="Calibri" w:hAnsi="Calibri" w:cs="Arial"/>
                <w:sz w:val="22"/>
                <w:szCs w:val="22"/>
              </w:rPr>
              <w:t>.</w:t>
            </w:r>
          </w:p>
        </w:tc>
        <w:tc>
          <w:tcPr>
            <w:tcW w:w="9976" w:type="dxa"/>
          </w:tcPr>
          <w:p w14:paraId="54B24DD0" w14:textId="733E5914" w:rsidR="00871F01" w:rsidRDefault="00871F01" w:rsidP="00871F01">
            <w:r>
              <w:rPr>
                <w:rFonts w:ascii="Calibri" w:hAnsi="Calibri" w:cs="Arial"/>
                <w:sz w:val="22"/>
                <w:szCs w:val="22"/>
              </w:rPr>
              <w:t>Complete the Channel on</w:t>
            </w:r>
            <w:r w:rsidR="001318C3">
              <w:rPr>
                <w:rFonts w:ascii="Calibri" w:hAnsi="Calibri" w:cs="Arial"/>
                <w:sz w:val="22"/>
                <w:szCs w:val="22"/>
              </w:rPr>
              <w:t>l</w:t>
            </w:r>
            <w:r>
              <w:rPr>
                <w:rFonts w:ascii="Calibri" w:hAnsi="Calibri" w:cs="Arial"/>
                <w:sz w:val="22"/>
                <w:szCs w:val="22"/>
              </w:rPr>
              <w:t xml:space="preserve">ine Prevent training &amp; radicalisation awareness course. </w:t>
            </w:r>
            <w:hyperlink r:id="rId7" w:history="1">
              <w:r>
                <w:rPr>
                  <w:rStyle w:val="Hyperlink"/>
                </w:rPr>
                <w:t>https://www.elearning.prevent.homeoffice.gov.uk/channel_awareness/01-welcome.html</w:t>
              </w:r>
            </w:hyperlink>
          </w:p>
          <w:p w14:paraId="004B8BFC" w14:textId="77777777" w:rsidR="009A1C03" w:rsidRPr="00E751E7" w:rsidRDefault="009A1C03" w:rsidP="00443B70">
            <w:pPr>
              <w:rPr>
                <w:rFonts w:ascii="Calibri" w:hAnsi="Calibri" w:cs="Arial"/>
                <w:sz w:val="22"/>
                <w:highlight w:val="yellow"/>
              </w:rPr>
            </w:pPr>
          </w:p>
        </w:tc>
      </w:tr>
      <w:tr w:rsidR="009A1C03" w:rsidRPr="00441140" w14:paraId="5A0354C9" w14:textId="77777777" w:rsidTr="001318C3">
        <w:tc>
          <w:tcPr>
            <w:tcW w:w="519" w:type="dxa"/>
          </w:tcPr>
          <w:p w14:paraId="2FF935FC" w14:textId="77777777" w:rsidR="009A1C03" w:rsidRDefault="009A1C03">
            <w:r w:rsidRPr="006D363C">
              <w:rPr>
                <w:rFonts w:ascii="Calibri" w:hAnsi="Calibri" w:cs="Arial"/>
                <w:bCs/>
                <w:sz w:val="22"/>
                <w:szCs w:val="22"/>
              </w:rPr>
              <w:sym w:font="Wingdings" w:char="F0FC"/>
            </w:r>
          </w:p>
        </w:tc>
        <w:tc>
          <w:tcPr>
            <w:tcW w:w="615" w:type="dxa"/>
          </w:tcPr>
          <w:p w14:paraId="0698CA29" w14:textId="77777777" w:rsidR="009A1C03" w:rsidRPr="00E751E7" w:rsidRDefault="009A1C03" w:rsidP="00443B70">
            <w:pPr>
              <w:jc w:val="center"/>
              <w:rPr>
                <w:rFonts w:ascii="Calibri" w:hAnsi="Calibri" w:cs="Arial"/>
                <w:sz w:val="22"/>
              </w:rPr>
            </w:pPr>
            <w:r w:rsidRPr="00E751E7">
              <w:rPr>
                <w:rFonts w:ascii="Calibri" w:hAnsi="Calibri" w:cs="Arial"/>
                <w:sz w:val="22"/>
                <w:szCs w:val="22"/>
              </w:rPr>
              <w:t>2</w:t>
            </w:r>
            <w:r w:rsidR="00A66E09">
              <w:rPr>
                <w:rFonts w:ascii="Calibri" w:hAnsi="Calibri" w:cs="Arial"/>
                <w:sz w:val="22"/>
                <w:szCs w:val="22"/>
              </w:rPr>
              <w:t>.</w:t>
            </w:r>
          </w:p>
        </w:tc>
        <w:tc>
          <w:tcPr>
            <w:tcW w:w="9976" w:type="dxa"/>
          </w:tcPr>
          <w:p w14:paraId="7D61B2D7" w14:textId="77777777" w:rsidR="001318C3" w:rsidRDefault="001318C3" w:rsidP="001318C3">
            <w:pPr>
              <w:rPr>
                <w:rFonts w:ascii="Calibri" w:hAnsi="Calibri" w:cs="Arial"/>
                <w:sz w:val="22"/>
              </w:rPr>
            </w:pPr>
            <w:r>
              <w:rPr>
                <w:rFonts w:ascii="Calibri" w:hAnsi="Calibri" w:cs="Arial"/>
                <w:sz w:val="22"/>
                <w:szCs w:val="22"/>
              </w:rPr>
              <w:t xml:space="preserve">Read the Safeguarding document ‘Keeping Children Safe in Education’ (DfE, 2021) available from the Department for Education website </w:t>
            </w:r>
            <w:hyperlink r:id="rId8" w:history="1">
              <w:r>
                <w:rPr>
                  <w:rStyle w:val="Hyperlink"/>
                </w:rPr>
                <w:t>Keeping children safe in education 2021 (publishing.service.gov.uk)</w:t>
              </w:r>
            </w:hyperlink>
          </w:p>
          <w:p w14:paraId="6CA3911F" w14:textId="77777777" w:rsidR="009A1C03" w:rsidRPr="00E751E7" w:rsidRDefault="009A1C03" w:rsidP="00443B70">
            <w:pPr>
              <w:rPr>
                <w:rFonts w:ascii="Calibri" w:hAnsi="Calibri" w:cs="Arial"/>
                <w:sz w:val="22"/>
              </w:rPr>
            </w:pPr>
          </w:p>
        </w:tc>
      </w:tr>
      <w:tr w:rsidR="009A1C03" w:rsidRPr="00441140" w14:paraId="4D49908B" w14:textId="77777777" w:rsidTr="001318C3">
        <w:tc>
          <w:tcPr>
            <w:tcW w:w="519" w:type="dxa"/>
          </w:tcPr>
          <w:p w14:paraId="4CD88D0B" w14:textId="77777777" w:rsidR="009A1C03" w:rsidRDefault="009A1C03">
            <w:r w:rsidRPr="006D363C">
              <w:rPr>
                <w:rFonts w:ascii="Calibri" w:hAnsi="Calibri" w:cs="Arial"/>
                <w:bCs/>
                <w:sz w:val="22"/>
                <w:szCs w:val="22"/>
              </w:rPr>
              <w:sym w:font="Wingdings" w:char="F0FC"/>
            </w:r>
          </w:p>
        </w:tc>
        <w:tc>
          <w:tcPr>
            <w:tcW w:w="615" w:type="dxa"/>
          </w:tcPr>
          <w:p w14:paraId="2AA7B9A9" w14:textId="77777777" w:rsidR="009A1C03" w:rsidRPr="00E36962" w:rsidRDefault="009A1C03" w:rsidP="00443B70">
            <w:pPr>
              <w:jc w:val="center"/>
              <w:rPr>
                <w:rFonts w:ascii="Calibri" w:hAnsi="Calibri" w:cs="Arial"/>
                <w:sz w:val="22"/>
              </w:rPr>
            </w:pPr>
            <w:r w:rsidRPr="00E36962">
              <w:rPr>
                <w:rFonts w:ascii="Calibri" w:hAnsi="Calibri" w:cs="Arial"/>
                <w:sz w:val="22"/>
                <w:szCs w:val="22"/>
              </w:rPr>
              <w:t>3</w:t>
            </w:r>
            <w:r w:rsidR="00A66E09">
              <w:rPr>
                <w:rFonts w:ascii="Calibri" w:hAnsi="Calibri" w:cs="Arial"/>
                <w:sz w:val="22"/>
                <w:szCs w:val="22"/>
              </w:rPr>
              <w:t>.</w:t>
            </w:r>
          </w:p>
        </w:tc>
        <w:tc>
          <w:tcPr>
            <w:tcW w:w="9976" w:type="dxa"/>
          </w:tcPr>
          <w:p w14:paraId="146CC206" w14:textId="77777777" w:rsidR="00D91EF7" w:rsidRDefault="00D91EF7" w:rsidP="00D91EF7">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Familiarise yourself with the Inclusion Development Programme online which is a resource to help improve outcomes for pupils with Special Educational Needs.</w:t>
            </w:r>
            <w:r>
              <w:rPr>
                <w:rStyle w:val="eop"/>
                <w:rFonts w:ascii="&amp;quot" w:hAnsi="&amp;quot"/>
                <w:sz w:val="22"/>
                <w:szCs w:val="22"/>
              </w:rPr>
              <w:t> </w:t>
            </w:r>
            <w:hyperlink r:id="rId9" w:history="1">
              <w:r>
                <w:rPr>
                  <w:rStyle w:val="Hyperlink"/>
                  <w:rFonts w:ascii="&amp;quot" w:hAnsi="&amp;quot"/>
                  <w:sz w:val="18"/>
                  <w:szCs w:val="18"/>
                </w:rPr>
                <w:t>https://www.sendgateway.org.uk/</w:t>
              </w:r>
            </w:hyperlink>
          </w:p>
          <w:p w14:paraId="38847A03" w14:textId="77777777" w:rsidR="009A1C03" w:rsidRPr="00E36962" w:rsidRDefault="009A1C03" w:rsidP="00443B70">
            <w:pPr>
              <w:rPr>
                <w:rFonts w:ascii="Calibri" w:hAnsi="Calibri" w:cs="Arial"/>
                <w:sz w:val="22"/>
              </w:rPr>
            </w:pPr>
          </w:p>
        </w:tc>
      </w:tr>
      <w:tr w:rsidR="00C434E8" w:rsidRPr="00441140" w14:paraId="224CB14E" w14:textId="77777777" w:rsidTr="001318C3">
        <w:tc>
          <w:tcPr>
            <w:tcW w:w="519" w:type="dxa"/>
          </w:tcPr>
          <w:p w14:paraId="1A3AFAF7" w14:textId="77777777" w:rsidR="00C434E8" w:rsidRPr="00441140" w:rsidRDefault="00C434E8" w:rsidP="00443B70">
            <w:pPr>
              <w:jc w:val="center"/>
              <w:rPr>
                <w:rFonts w:ascii="Calibri" w:hAnsi="Calibri" w:cs="Arial"/>
                <w:sz w:val="22"/>
              </w:rPr>
            </w:pPr>
          </w:p>
        </w:tc>
        <w:tc>
          <w:tcPr>
            <w:tcW w:w="615" w:type="dxa"/>
          </w:tcPr>
          <w:p w14:paraId="63BAA0BB" w14:textId="77777777" w:rsidR="00C434E8" w:rsidRPr="00441140" w:rsidRDefault="00C434E8" w:rsidP="00443B70">
            <w:pPr>
              <w:jc w:val="center"/>
              <w:rPr>
                <w:rFonts w:ascii="Calibri" w:hAnsi="Calibri" w:cs="Arial"/>
                <w:sz w:val="22"/>
              </w:rPr>
            </w:pPr>
            <w:r>
              <w:rPr>
                <w:rFonts w:ascii="Calibri" w:hAnsi="Calibri" w:cs="Arial"/>
                <w:sz w:val="22"/>
                <w:szCs w:val="22"/>
              </w:rPr>
              <w:t>4</w:t>
            </w:r>
            <w:r w:rsidR="00A66E09">
              <w:rPr>
                <w:rFonts w:ascii="Calibri" w:hAnsi="Calibri" w:cs="Arial"/>
                <w:sz w:val="22"/>
                <w:szCs w:val="22"/>
              </w:rPr>
              <w:t>.</w:t>
            </w:r>
          </w:p>
        </w:tc>
        <w:tc>
          <w:tcPr>
            <w:tcW w:w="9976" w:type="dxa"/>
          </w:tcPr>
          <w:p w14:paraId="09B51F52" w14:textId="77777777" w:rsidR="00C434E8" w:rsidRDefault="00C434E8" w:rsidP="00AD46EA">
            <w:pPr>
              <w:rPr>
                <w:rFonts w:ascii="Calibri" w:hAnsi="Calibri" w:cs="Arial"/>
                <w:sz w:val="22"/>
              </w:rPr>
            </w:pPr>
            <w:r w:rsidRPr="00441140">
              <w:rPr>
                <w:rFonts w:ascii="Calibri" w:hAnsi="Calibri" w:cs="Arial"/>
                <w:sz w:val="22"/>
                <w:szCs w:val="22"/>
              </w:rPr>
              <w:t xml:space="preserve">To become familiar with the current </w:t>
            </w:r>
            <w:r>
              <w:rPr>
                <w:rFonts w:ascii="Calibri" w:hAnsi="Calibri" w:cs="Arial"/>
                <w:sz w:val="22"/>
                <w:szCs w:val="22"/>
              </w:rPr>
              <w:t>GCSE</w:t>
            </w:r>
            <w:r w:rsidR="00D5099D">
              <w:rPr>
                <w:rFonts w:ascii="Calibri" w:hAnsi="Calibri" w:cs="Arial"/>
                <w:sz w:val="22"/>
                <w:szCs w:val="22"/>
              </w:rPr>
              <w:t xml:space="preserve">, BTEC, </w:t>
            </w:r>
            <w:r>
              <w:rPr>
                <w:rFonts w:ascii="Calibri" w:hAnsi="Calibri" w:cs="Arial"/>
                <w:sz w:val="22"/>
                <w:szCs w:val="22"/>
              </w:rPr>
              <w:t>and A level specification</w:t>
            </w:r>
            <w:r w:rsidR="0055546C">
              <w:rPr>
                <w:rFonts w:ascii="Calibri" w:hAnsi="Calibri" w:cs="Arial"/>
                <w:sz w:val="22"/>
                <w:szCs w:val="22"/>
              </w:rPr>
              <w:t>s</w:t>
            </w:r>
            <w:r>
              <w:rPr>
                <w:rFonts w:ascii="Calibri" w:hAnsi="Calibri" w:cs="Arial"/>
                <w:sz w:val="22"/>
                <w:szCs w:val="22"/>
              </w:rPr>
              <w:t xml:space="preserve"> </w:t>
            </w:r>
            <w:r w:rsidRPr="00441140">
              <w:rPr>
                <w:rFonts w:ascii="Calibri" w:hAnsi="Calibri" w:cs="Arial"/>
                <w:sz w:val="22"/>
                <w:szCs w:val="22"/>
              </w:rPr>
              <w:t xml:space="preserve">for </w:t>
            </w:r>
            <w:r>
              <w:rPr>
                <w:rFonts w:ascii="Calibri" w:hAnsi="Calibri" w:cs="Arial"/>
                <w:sz w:val="22"/>
                <w:szCs w:val="22"/>
              </w:rPr>
              <w:t>Drama</w:t>
            </w:r>
            <w:r w:rsidRPr="00441140">
              <w:rPr>
                <w:rFonts w:ascii="Calibri" w:hAnsi="Calibri" w:cs="Arial"/>
                <w:sz w:val="22"/>
                <w:szCs w:val="22"/>
              </w:rPr>
              <w:t xml:space="preserve"> </w:t>
            </w:r>
          </w:p>
          <w:p w14:paraId="047F4A29" w14:textId="77777777" w:rsidR="002D47F4" w:rsidRPr="00441140" w:rsidRDefault="002D47F4" w:rsidP="00AD46EA">
            <w:pPr>
              <w:rPr>
                <w:rFonts w:ascii="Calibri" w:hAnsi="Calibri" w:cs="Arial"/>
                <w:sz w:val="22"/>
              </w:rPr>
            </w:pPr>
          </w:p>
        </w:tc>
      </w:tr>
      <w:tr w:rsidR="00C434E8" w:rsidRPr="00441140" w14:paraId="0C43250B" w14:textId="77777777" w:rsidTr="001318C3">
        <w:tc>
          <w:tcPr>
            <w:tcW w:w="519" w:type="dxa"/>
          </w:tcPr>
          <w:p w14:paraId="733ACFD4" w14:textId="77777777" w:rsidR="00C434E8" w:rsidRPr="00441140" w:rsidRDefault="00C434E8" w:rsidP="00443B70">
            <w:pPr>
              <w:jc w:val="center"/>
              <w:rPr>
                <w:rFonts w:ascii="Calibri" w:hAnsi="Calibri" w:cs="Arial"/>
                <w:bCs/>
                <w:sz w:val="22"/>
              </w:rPr>
            </w:pPr>
          </w:p>
        </w:tc>
        <w:tc>
          <w:tcPr>
            <w:tcW w:w="615" w:type="dxa"/>
          </w:tcPr>
          <w:p w14:paraId="3243F7B2" w14:textId="77777777" w:rsidR="00C434E8" w:rsidRPr="00441140" w:rsidRDefault="002D47F4" w:rsidP="00443B70">
            <w:pPr>
              <w:jc w:val="center"/>
              <w:rPr>
                <w:rFonts w:ascii="Calibri" w:hAnsi="Calibri" w:cs="Arial"/>
                <w:bCs/>
                <w:sz w:val="22"/>
              </w:rPr>
            </w:pPr>
            <w:r>
              <w:rPr>
                <w:rFonts w:ascii="Calibri" w:hAnsi="Calibri" w:cs="Arial"/>
                <w:bCs/>
                <w:sz w:val="22"/>
                <w:szCs w:val="22"/>
              </w:rPr>
              <w:t>5</w:t>
            </w:r>
            <w:r w:rsidR="00A66E09">
              <w:rPr>
                <w:rFonts w:ascii="Calibri" w:hAnsi="Calibri" w:cs="Arial"/>
                <w:bCs/>
                <w:sz w:val="22"/>
                <w:szCs w:val="22"/>
              </w:rPr>
              <w:t>.</w:t>
            </w:r>
          </w:p>
          <w:p w14:paraId="74822EEB" w14:textId="77777777" w:rsidR="00C434E8" w:rsidRPr="00441140" w:rsidRDefault="00B1198E" w:rsidP="00D5099D">
            <w:pPr>
              <w:jc w:val="center"/>
              <w:rPr>
                <w:rFonts w:ascii="Calibri" w:hAnsi="Calibri" w:cs="Arial"/>
                <w:bCs/>
                <w:sz w:val="22"/>
              </w:rPr>
            </w:pPr>
            <w:r>
              <w:rPr>
                <w:rFonts w:ascii="Calibri" w:hAnsi="Calibri" w:cs="Arial"/>
                <w:noProof/>
                <w:sz w:val="22"/>
                <w:szCs w:val="22"/>
                <w:lang w:eastAsia="en-GB"/>
              </w:rPr>
              <w:pict w14:anchorId="35C26B5A">
                <v:shapetype id="_x0000_t202" coordsize="21600,21600" o:spt="202" path="m,l,21600r21600,l21600,xe">
                  <v:stroke joinstyle="miter"/>
                  <v:path gradientshapeok="t" o:connecttype="rect"/>
                </v:shapetype>
                <v:shape id="_x0000_s1028" type="#_x0000_t202" style="position:absolute;left:0;text-align:left;margin-left:7.95pt;margin-top:26.55pt;width:11.25pt;height:12pt;z-index:251660288;mso-width-relative:margin;mso-height-relative:margin">
                  <v:textbox style="mso-next-textbox:#_x0000_s1028">
                    <w:txbxContent>
                      <w:p w14:paraId="42A1C415" w14:textId="77777777" w:rsidR="00A66E09" w:rsidRDefault="00A66E09" w:rsidP="00A66E09">
                        <w:r>
                          <w:rPr>
                            <w:noProof/>
                            <w:lang w:eastAsia="en-GB"/>
                          </w:rPr>
                          <w:drawing>
                            <wp:inline distT="0" distB="0" distL="0" distR="0" wp14:anchorId="6D015AE7" wp14:editId="6809530A">
                              <wp:extent cx="9525" cy="9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14:anchorId="48C3A20A" wp14:editId="142C39B2">
                              <wp:extent cx="95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Calibri" w:hAnsi="Calibri" w:cs="Arial"/>
                <w:bCs/>
                <w:noProof/>
                <w:sz w:val="22"/>
                <w:szCs w:val="22"/>
                <w:lang w:eastAsia="en-GB"/>
              </w:rPr>
              <w:pict w14:anchorId="7E9D2D4A">
                <v:shape id="_x0000_s1027" type="#_x0000_t202" style="position:absolute;left:0;text-align:left;margin-left:7.95pt;margin-top:14.6pt;width:11.25pt;height:12pt;z-index:251659264;mso-width-relative:margin;mso-height-relative:margin">
                  <v:textbox style="mso-next-textbox:#_x0000_s1027">
                    <w:txbxContent>
                      <w:p w14:paraId="4AB8D1AE" w14:textId="77777777" w:rsidR="00A66E09" w:rsidRDefault="00A66E09" w:rsidP="00A66E09">
                        <w:r>
                          <w:rPr>
                            <w:noProof/>
                            <w:lang w:eastAsia="en-GB"/>
                          </w:rPr>
                          <w:drawing>
                            <wp:inline distT="0" distB="0" distL="0" distR="0" wp14:anchorId="7FAE0FE4" wp14:editId="53A4A0CD">
                              <wp:extent cx="952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14:anchorId="6DB9C5CA" wp14:editId="0AE5D71D">
                              <wp:extent cx="9525" cy="9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Calibri" w:hAnsi="Calibri" w:cs="Arial"/>
                <w:bCs/>
                <w:noProof/>
                <w:sz w:val="22"/>
                <w:szCs w:val="22"/>
                <w:lang w:eastAsia="en-GB"/>
              </w:rPr>
              <w:pict w14:anchorId="6EDF68AA">
                <v:shape id="_x0000_s1026" type="#_x0000_t202" style="position:absolute;left:0;text-align:left;margin-left:7.95pt;margin-top:2.65pt;width:11.25pt;height:12pt;z-index:251658240;mso-width-relative:margin;mso-height-relative:margin">
                  <v:textbox style="mso-next-textbox:#_x0000_s1026">
                    <w:txbxContent>
                      <w:p w14:paraId="4ADE4100" w14:textId="77777777" w:rsidR="00A66E09" w:rsidRDefault="00A66E09" w:rsidP="00A66E09">
                        <w:r>
                          <w:rPr>
                            <w:noProof/>
                            <w:lang w:eastAsia="en-GB"/>
                          </w:rPr>
                          <w:drawing>
                            <wp:inline distT="0" distB="0" distL="0" distR="0" wp14:anchorId="2E7A2969" wp14:editId="1F936BA0">
                              <wp:extent cx="9525" cy="9525"/>
                              <wp:effectExtent l="0" t="0" r="0"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14:anchorId="7594A1BA" wp14:editId="620D5D25">
                              <wp:extent cx="9525" cy="9525"/>
                              <wp:effectExtent l="0" t="0" r="0" b="0"/>
                              <wp:docPr id="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p>
        </w:tc>
        <w:tc>
          <w:tcPr>
            <w:tcW w:w="9976" w:type="dxa"/>
          </w:tcPr>
          <w:p w14:paraId="414EE39C" w14:textId="77777777" w:rsidR="00C434E8" w:rsidRPr="00441140" w:rsidRDefault="00C434E8" w:rsidP="00AD46EA">
            <w:pPr>
              <w:rPr>
                <w:rFonts w:ascii="Calibri" w:hAnsi="Calibri" w:cs="Arial"/>
                <w:bCs/>
                <w:sz w:val="22"/>
              </w:rPr>
            </w:pPr>
            <w:r w:rsidRPr="00441140">
              <w:rPr>
                <w:rFonts w:ascii="Calibri" w:hAnsi="Calibri" w:cs="Arial"/>
                <w:bCs/>
                <w:sz w:val="22"/>
                <w:szCs w:val="22"/>
              </w:rPr>
              <w:t xml:space="preserve">Consider how </w:t>
            </w:r>
            <w:r>
              <w:rPr>
                <w:rFonts w:ascii="Calibri" w:hAnsi="Calibri" w:cs="Arial"/>
                <w:sz w:val="22"/>
                <w:szCs w:val="22"/>
              </w:rPr>
              <w:t>Drama</w:t>
            </w:r>
            <w:r w:rsidRPr="00441140">
              <w:rPr>
                <w:rFonts w:ascii="Calibri" w:hAnsi="Calibri" w:cs="Arial"/>
                <w:sz w:val="22"/>
                <w:szCs w:val="22"/>
              </w:rPr>
              <w:t xml:space="preserve"> </w:t>
            </w:r>
            <w:r>
              <w:rPr>
                <w:rFonts w:ascii="Calibri" w:hAnsi="Calibri" w:cs="Arial"/>
                <w:bCs/>
                <w:sz w:val="22"/>
                <w:szCs w:val="22"/>
              </w:rPr>
              <w:t xml:space="preserve">departments </w:t>
            </w:r>
            <w:r w:rsidRPr="00441140">
              <w:rPr>
                <w:rFonts w:ascii="Calibri" w:hAnsi="Calibri" w:cs="Arial"/>
                <w:bCs/>
                <w:sz w:val="22"/>
                <w:szCs w:val="22"/>
              </w:rPr>
              <w:t>support different groups of learners:</w:t>
            </w:r>
          </w:p>
          <w:p w14:paraId="0A7EA36E" w14:textId="77777777" w:rsidR="00C434E8" w:rsidRPr="00441140" w:rsidRDefault="00C434E8" w:rsidP="00AD46EA">
            <w:pPr>
              <w:numPr>
                <w:ilvl w:val="0"/>
                <w:numId w:val="2"/>
              </w:numPr>
              <w:rPr>
                <w:rFonts w:ascii="Calibri" w:hAnsi="Calibri" w:cs="Arial"/>
                <w:bCs/>
                <w:sz w:val="22"/>
              </w:rPr>
            </w:pPr>
            <w:r w:rsidRPr="00441140">
              <w:rPr>
                <w:rFonts w:ascii="Calibri" w:hAnsi="Calibri" w:cs="Arial"/>
                <w:bCs/>
                <w:sz w:val="22"/>
                <w:szCs w:val="22"/>
              </w:rPr>
              <w:t>EAL</w:t>
            </w:r>
          </w:p>
          <w:p w14:paraId="37505893" w14:textId="77777777" w:rsidR="00C434E8" w:rsidRPr="00441140" w:rsidRDefault="00C434E8" w:rsidP="00A66E09">
            <w:pPr>
              <w:numPr>
                <w:ilvl w:val="0"/>
                <w:numId w:val="2"/>
              </w:numPr>
              <w:rPr>
                <w:rFonts w:ascii="Calibri" w:hAnsi="Calibri" w:cs="Arial"/>
                <w:bCs/>
                <w:sz w:val="22"/>
              </w:rPr>
            </w:pPr>
            <w:r w:rsidRPr="00441140">
              <w:rPr>
                <w:rFonts w:ascii="Calibri" w:hAnsi="Calibri" w:cs="Arial"/>
                <w:bCs/>
                <w:sz w:val="22"/>
                <w:szCs w:val="22"/>
              </w:rPr>
              <w:t>SEN</w:t>
            </w:r>
          </w:p>
          <w:p w14:paraId="2062E049" w14:textId="77777777" w:rsidR="00C434E8" w:rsidRPr="00441140" w:rsidRDefault="00556969" w:rsidP="00556969">
            <w:pPr>
              <w:numPr>
                <w:ilvl w:val="0"/>
                <w:numId w:val="2"/>
              </w:numPr>
              <w:rPr>
                <w:rFonts w:ascii="Calibri" w:hAnsi="Calibri" w:cs="Arial"/>
                <w:bCs/>
                <w:sz w:val="22"/>
              </w:rPr>
            </w:pPr>
            <w:r>
              <w:rPr>
                <w:rFonts w:ascii="Calibri" w:hAnsi="Calibri" w:cs="Arial"/>
                <w:bCs/>
                <w:sz w:val="22"/>
                <w:szCs w:val="22"/>
              </w:rPr>
              <w:t>Hi</w:t>
            </w:r>
            <w:r w:rsidR="00D5099D">
              <w:rPr>
                <w:rFonts w:ascii="Calibri" w:hAnsi="Calibri" w:cs="Arial"/>
                <w:bCs/>
                <w:sz w:val="22"/>
                <w:szCs w:val="22"/>
              </w:rPr>
              <w:t>gher attaining pupils</w:t>
            </w:r>
          </w:p>
        </w:tc>
      </w:tr>
      <w:tr w:rsidR="00C434E8" w:rsidRPr="00441140" w14:paraId="1CD12DD2" w14:textId="77777777" w:rsidTr="001318C3">
        <w:tc>
          <w:tcPr>
            <w:tcW w:w="519" w:type="dxa"/>
          </w:tcPr>
          <w:p w14:paraId="06F0C648" w14:textId="77777777" w:rsidR="00C434E8" w:rsidRPr="00441140" w:rsidRDefault="00C434E8" w:rsidP="00443B70">
            <w:pPr>
              <w:jc w:val="center"/>
              <w:rPr>
                <w:rFonts w:ascii="Calibri" w:hAnsi="Calibri" w:cs="Arial"/>
                <w:sz w:val="22"/>
              </w:rPr>
            </w:pPr>
          </w:p>
        </w:tc>
        <w:tc>
          <w:tcPr>
            <w:tcW w:w="615" w:type="dxa"/>
          </w:tcPr>
          <w:p w14:paraId="5DF35CDF" w14:textId="77777777" w:rsidR="00C434E8" w:rsidRPr="00441140" w:rsidRDefault="002D47F4" w:rsidP="00443B70">
            <w:pPr>
              <w:jc w:val="center"/>
              <w:rPr>
                <w:rFonts w:ascii="Calibri" w:hAnsi="Calibri" w:cs="Arial"/>
                <w:sz w:val="22"/>
              </w:rPr>
            </w:pPr>
            <w:r>
              <w:rPr>
                <w:rFonts w:ascii="Calibri" w:hAnsi="Calibri" w:cs="Arial"/>
                <w:sz w:val="22"/>
                <w:szCs w:val="22"/>
              </w:rPr>
              <w:t>6</w:t>
            </w:r>
            <w:r w:rsidR="00A66E09">
              <w:rPr>
                <w:rFonts w:ascii="Calibri" w:hAnsi="Calibri" w:cs="Arial"/>
                <w:sz w:val="22"/>
                <w:szCs w:val="22"/>
              </w:rPr>
              <w:t>.</w:t>
            </w:r>
          </w:p>
        </w:tc>
        <w:tc>
          <w:tcPr>
            <w:tcW w:w="9976" w:type="dxa"/>
          </w:tcPr>
          <w:p w14:paraId="5C3EB100" w14:textId="77777777" w:rsidR="00C434E8" w:rsidRDefault="00D5099D" w:rsidP="00AD46EA">
            <w:pPr>
              <w:rPr>
                <w:rFonts w:ascii="Calibri" w:hAnsi="Calibri" w:cs="Arial"/>
                <w:sz w:val="22"/>
              </w:rPr>
            </w:pPr>
            <w:r>
              <w:rPr>
                <w:rFonts w:ascii="Calibri" w:hAnsi="Calibri" w:cs="Arial"/>
                <w:sz w:val="22"/>
                <w:szCs w:val="22"/>
              </w:rPr>
              <w:t xml:space="preserve">Research </w:t>
            </w:r>
            <w:r w:rsidR="002A7808">
              <w:rPr>
                <w:rFonts w:ascii="Calibri" w:hAnsi="Calibri" w:cs="Arial"/>
                <w:sz w:val="22"/>
                <w:szCs w:val="22"/>
              </w:rPr>
              <w:t xml:space="preserve">examples of </w:t>
            </w:r>
            <w:r w:rsidR="00C434E8" w:rsidRPr="00441140">
              <w:rPr>
                <w:rFonts w:ascii="Calibri" w:hAnsi="Calibri" w:cs="Arial"/>
                <w:sz w:val="22"/>
                <w:szCs w:val="22"/>
              </w:rPr>
              <w:t xml:space="preserve">how </w:t>
            </w:r>
            <w:r w:rsidR="00C434E8">
              <w:rPr>
                <w:rFonts w:ascii="Calibri" w:hAnsi="Calibri" w:cs="Arial"/>
                <w:sz w:val="22"/>
                <w:szCs w:val="22"/>
              </w:rPr>
              <w:t>Drama</w:t>
            </w:r>
            <w:r w:rsidR="00C434E8" w:rsidRPr="00441140">
              <w:rPr>
                <w:rFonts w:ascii="Calibri" w:hAnsi="Calibri" w:cs="Arial"/>
                <w:sz w:val="22"/>
                <w:szCs w:val="22"/>
              </w:rPr>
              <w:t xml:space="preserve"> department</w:t>
            </w:r>
            <w:r>
              <w:rPr>
                <w:rFonts w:ascii="Calibri" w:hAnsi="Calibri" w:cs="Arial"/>
                <w:sz w:val="22"/>
                <w:szCs w:val="22"/>
              </w:rPr>
              <w:t>s</w:t>
            </w:r>
            <w:r w:rsidR="00C434E8" w:rsidRPr="00441140">
              <w:rPr>
                <w:rFonts w:ascii="Calibri" w:hAnsi="Calibri" w:cs="Arial"/>
                <w:sz w:val="22"/>
                <w:szCs w:val="22"/>
              </w:rPr>
              <w:t xml:space="preserve"> </w:t>
            </w:r>
            <w:r>
              <w:rPr>
                <w:rFonts w:ascii="Calibri" w:hAnsi="Calibri" w:cs="Arial"/>
                <w:sz w:val="22"/>
                <w:szCs w:val="22"/>
              </w:rPr>
              <w:t>might use</w:t>
            </w:r>
            <w:r w:rsidR="00C434E8" w:rsidRPr="00441140">
              <w:rPr>
                <w:rFonts w:ascii="Calibri" w:hAnsi="Calibri" w:cs="Arial"/>
                <w:sz w:val="22"/>
                <w:szCs w:val="22"/>
              </w:rPr>
              <w:t xml:space="preserve"> ICT to enhance teaching and learning</w:t>
            </w:r>
            <w:r>
              <w:rPr>
                <w:rFonts w:ascii="Calibri" w:hAnsi="Calibri" w:cs="Arial"/>
                <w:sz w:val="22"/>
                <w:szCs w:val="22"/>
              </w:rPr>
              <w:t xml:space="preserve"> as well </w:t>
            </w:r>
            <w:r w:rsidR="00EF079F">
              <w:rPr>
                <w:rFonts w:ascii="Calibri" w:hAnsi="Calibri" w:cs="Arial"/>
                <w:sz w:val="22"/>
                <w:szCs w:val="22"/>
              </w:rPr>
              <w:t>how they support</w:t>
            </w:r>
            <w:r>
              <w:rPr>
                <w:rFonts w:ascii="Calibri" w:hAnsi="Calibri" w:cs="Arial"/>
                <w:sz w:val="22"/>
                <w:szCs w:val="22"/>
              </w:rPr>
              <w:t xml:space="preserve"> learning outside the classroom e.g. </w:t>
            </w:r>
            <w:r w:rsidR="002A7808">
              <w:rPr>
                <w:rFonts w:ascii="Calibri" w:hAnsi="Calibri" w:cs="Arial"/>
                <w:sz w:val="22"/>
                <w:szCs w:val="22"/>
              </w:rPr>
              <w:t xml:space="preserve">through </w:t>
            </w:r>
            <w:r>
              <w:rPr>
                <w:rFonts w:ascii="Calibri" w:hAnsi="Calibri" w:cs="Arial"/>
                <w:sz w:val="22"/>
                <w:szCs w:val="22"/>
              </w:rPr>
              <w:t>trips and visits</w:t>
            </w:r>
          </w:p>
          <w:p w14:paraId="6C192C9B" w14:textId="77777777" w:rsidR="00EC0AC6" w:rsidRPr="00441140" w:rsidRDefault="00EC0AC6" w:rsidP="00AD46EA">
            <w:pPr>
              <w:rPr>
                <w:rFonts w:ascii="Calibri" w:hAnsi="Calibri" w:cs="Arial"/>
                <w:sz w:val="22"/>
              </w:rPr>
            </w:pPr>
          </w:p>
        </w:tc>
      </w:tr>
      <w:tr w:rsidR="00C434E8" w:rsidRPr="00441140" w14:paraId="7B005FDC" w14:textId="77777777" w:rsidTr="001318C3">
        <w:tc>
          <w:tcPr>
            <w:tcW w:w="519" w:type="dxa"/>
          </w:tcPr>
          <w:p w14:paraId="1FD7A057" w14:textId="77777777" w:rsidR="00C434E8" w:rsidRDefault="00C434E8" w:rsidP="00443B70">
            <w:pPr>
              <w:jc w:val="center"/>
              <w:rPr>
                <w:rFonts w:ascii="Calibri" w:hAnsi="Calibri" w:cs="Arial"/>
                <w:sz w:val="22"/>
              </w:rPr>
            </w:pPr>
          </w:p>
          <w:p w14:paraId="2E2EF549" w14:textId="77777777" w:rsidR="00C434E8" w:rsidRPr="00441140" w:rsidRDefault="00C434E8" w:rsidP="00443B70">
            <w:pPr>
              <w:jc w:val="center"/>
              <w:rPr>
                <w:rFonts w:ascii="Calibri" w:hAnsi="Calibri" w:cs="Arial"/>
                <w:sz w:val="22"/>
              </w:rPr>
            </w:pPr>
          </w:p>
        </w:tc>
        <w:tc>
          <w:tcPr>
            <w:tcW w:w="615" w:type="dxa"/>
          </w:tcPr>
          <w:p w14:paraId="5A84B687" w14:textId="77777777" w:rsidR="00C434E8" w:rsidRPr="00441140" w:rsidRDefault="002D47F4" w:rsidP="00443B70">
            <w:pPr>
              <w:jc w:val="center"/>
              <w:rPr>
                <w:rFonts w:ascii="Calibri" w:hAnsi="Calibri" w:cs="Arial"/>
                <w:sz w:val="22"/>
              </w:rPr>
            </w:pPr>
            <w:r>
              <w:rPr>
                <w:rFonts w:ascii="Calibri" w:hAnsi="Calibri" w:cs="Arial"/>
                <w:sz w:val="22"/>
                <w:szCs w:val="22"/>
              </w:rPr>
              <w:t>7</w:t>
            </w:r>
            <w:r w:rsidR="00A66E09">
              <w:rPr>
                <w:rFonts w:ascii="Calibri" w:hAnsi="Calibri" w:cs="Arial"/>
                <w:sz w:val="22"/>
                <w:szCs w:val="22"/>
              </w:rPr>
              <w:t>.</w:t>
            </w:r>
          </w:p>
          <w:p w14:paraId="305B3E0C" w14:textId="77777777" w:rsidR="00C434E8" w:rsidRPr="00441140" w:rsidRDefault="00C434E8" w:rsidP="00443B70">
            <w:pPr>
              <w:jc w:val="center"/>
              <w:rPr>
                <w:rFonts w:ascii="Calibri" w:hAnsi="Calibri" w:cs="Arial"/>
                <w:sz w:val="22"/>
              </w:rPr>
            </w:pPr>
          </w:p>
          <w:p w14:paraId="37682681" w14:textId="77777777" w:rsidR="00C434E8" w:rsidRPr="00441140" w:rsidRDefault="00B1198E" w:rsidP="00382E44">
            <w:pPr>
              <w:jc w:val="center"/>
              <w:rPr>
                <w:rFonts w:ascii="Calibri" w:hAnsi="Calibri" w:cs="Arial"/>
                <w:sz w:val="22"/>
              </w:rPr>
            </w:pPr>
            <w:r>
              <w:rPr>
                <w:rFonts w:ascii="Calibri" w:hAnsi="Calibri" w:cs="Arial"/>
                <w:noProof/>
                <w:sz w:val="22"/>
                <w:lang w:eastAsia="en-GB"/>
              </w:rPr>
              <w:pict w14:anchorId="0BBF3A79">
                <v:shape id="_x0000_s1032" type="#_x0000_t202" style="position:absolute;left:0;text-align:left;margin-left:8.7pt;margin-top:15.1pt;width:11.25pt;height:12pt;z-index:251664384;mso-width-relative:margin;mso-height-relative:margin">
                  <v:textbox style="mso-next-textbox:#_x0000_s1032">
                    <w:txbxContent>
                      <w:p w14:paraId="3360F53A" w14:textId="77777777" w:rsidR="00A66E09" w:rsidRDefault="00A66E09" w:rsidP="00A66E09">
                        <w:r>
                          <w:rPr>
                            <w:noProof/>
                            <w:lang w:eastAsia="en-GB"/>
                          </w:rPr>
                          <w:drawing>
                            <wp:inline distT="0" distB="0" distL="0" distR="0" wp14:anchorId="35BB48F5" wp14:editId="6CEAA3C9">
                              <wp:extent cx="9525" cy="9525"/>
                              <wp:effectExtent l="0" t="0" r="0" b="0"/>
                              <wp:docPr id="11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Calibri" w:hAnsi="Calibri" w:cs="Arial"/>
                <w:bCs/>
                <w:noProof/>
                <w:sz w:val="22"/>
                <w:szCs w:val="22"/>
                <w:lang w:eastAsia="en-GB"/>
              </w:rPr>
              <w:pict w14:anchorId="4232D90C">
                <v:shape id="_x0000_s1029" type="#_x0000_t202" style="position:absolute;left:0;text-align:left;margin-left:8.7pt;margin-top:76.6pt;width:11.25pt;height:12pt;z-index:251661312;mso-width-relative:margin;mso-height-relative:margin">
                  <v:textbox style="mso-next-textbox:#_x0000_s1029">
                    <w:txbxContent>
                      <w:p w14:paraId="5C6BF0B6" w14:textId="77777777" w:rsidR="00A66E09" w:rsidRDefault="00A66E09" w:rsidP="00A66E09">
                        <w:r>
                          <w:rPr>
                            <w:noProof/>
                            <w:lang w:eastAsia="en-GB"/>
                          </w:rPr>
                          <w:drawing>
                            <wp:inline distT="0" distB="0" distL="0" distR="0" wp14:anchorId="009A4C7C" wp14:editId="3A74EB44">
                              <wp:extent cx="9525" cy="9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14:anchorId="32726EB7" wp14:editId="6B0E2DB5">
                              <wp:extent cx="95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Calibri" w:hAnsi="Calibri" w:cs="Arial"/>
                <w:noProof/>
                <w:sz w:val="22"/>
                <w:lang w:eastAsia="en-GB"/>
              </w:rPr>
              <w:pict w14:anchorId="33BD77D4">
                <v:shape id="_x0000_s1030" type="#_x0000_t202" style="position:absolute;left:0;text-align:left;margin-left:8.7pt;margin-top:50.35pt;width:11.25pt;height:12pt;z-index:251662336;mso-width-relative:margin;mso-height-relative:margin">
                  <v:textbox style="mso-next-textbox:#_x0000_s1030">
                    <w:txbxContent>
                      <w:p w14:paraId="3F56AFC7" w14:textId="77777777" w:rsidR="00A66E09" w:rsidRDefault="00A66E09" w:rsidP="00A66E09">
                        <w:r>
                          <w:rPr>
                            <w:noProof/>
                            <w:lang w:eastAsia="en-GB"/>
                          </w:rPr>
                          <w:drawing>
                            <wp:inline distT="0" distB="0" distL="0" distR="0" wp14:anchorId="19FC60AF" wp14:editId="0215CAA8">
                              <wp:extent cx="9525" cy="9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14:anchorId="190C4189" wp14:editId="063AE896">
                              <wp:extent cx="9525" cy="9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Calibri" w:hAnsi="Calibri" w:cs="Arial"/>
                <w:noProof/>
                <w:sz w:val="22"/>
                <w:lang w:eastAsia="en-GB"/>
              </w:rPr>
              <w:pict w14:anchorId="06AACB06">
                <v:shape id="_x0000_s1033" type="#_x0000_t202" style="position:absolute;left:0;text-align:left;margin-left:8.7pt;margin-top:-.65pt;width:11.25pt;height:12pt;z-index:251665408;mso-width-relative:margin;mso-height-relative:margin">
                  <v:textbox style="mso-next-textbox:#_x0000_s1033">
                    <w:txbxContent>
                      <w:p w14:paraId="1AF8060B" w14:textId="77777777" w:rsidR="00A66E09" w:rsidRDefault="00A66E09" w:rsidP="00A66E09">
                        <w:r>
                          <w:rPr>
                            <w:noProof/>
                            <w:lang w:eastAsia="en-GB"/>
                          </w:rPr>
                          <w:drawing>
                            <wp:inline distT="0" distB="0" distL="0" distR="0" wp14:anchorId="1CF9755F" wp14:editId="29187DCD">
                              <wp:extent cx="9525" cy="9525"/>
                              <wp:effectExtent l="0" t="0" r="0" b="0"/>
                              <wp:docPr id="1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14:anchorId="2B9EF578" wp14:editId="0C3BC7D3">
                              <wp:extent cx="9525" cy="9525"/>
                              <wp:effectExtent l="0" t="0" r="0" b="0"/>
                              <wp:docPr id="11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rFonts w:ascii="Calibri" w:hAnsi="Calibri" w:cs="Arial"/>
                <w:noProof/>
                <w:sz w:val="22"/>
                <w:lang w:eastAsia="en-GB"/>
              </w:rPr>
              <w:pict w14:anchorId="613B51D6">
                <v:shape id="_x0000_s1031" type="#_x0000_t202" style="position:absolute;left:0;text-align:left;margin-left:8.7pt;margin-top:31.6pt;width:11.25pt;height:12pt;z-index:251663360;mso-width-relative:margin;mso-height-relative:margin">
                  <v:textbox style="mso-next-textbox:#_x0000_s1031">
                    <w:txbxContent>
                      <w:p w14:paraId="54C9F236" w14:textId="77777777" w:rsidR="00A66E09" w:rsidRDefault="00A66E09" w:rsidP="00A66E09">
                        <w:r>
                          <w:rPr>
                            <w:noProof/>
                            <w:lang w:eastAsia="en-GB"/>
                          </w:rPr>
                          <w:drawing>
                            <wp:inline distT="0" distB="0" distL="0" distR="0" wp14:anchorId="6C6DAB36" wp14:editId="464E3459">
                              <wp:extent cx="9525" cy="9525"/>
                              <wp:effectExtent l="0" t="0" r="0" b="0"/>
                              <wp:docPr id="1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GB"/>
                          </w:rPr>
                          <w:drawing>
                            <wp:inline distT="0" distB="0" distL="0" distR="0" wp14:anchorId="413B0C61" wp14:editId="1156BB1C">
                              <wp:extent cx="9525" cy="95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p>
        </w:tc>
        <w:tc>
          <w:tcPr>
            <w:tcW w:w="9976" w:type="dxa"/>
          </w:tcPr>
          <w:p w14:paraId="3199FC07" w14:textId="77777777" w:rsidR="00EF079F" w:rsidRDefault="00C434E8" w:rsidP="00AD46EA">
            <w:pPr>
              <w:rPr>
                <w:rFonts w:ascii="Calibri" w:hAnsi="Calibri" w:cs="Arial"/>
                <w:sz w:val="22"/>
              </w:rPr>
            </w:pPr>
            <w:r w:rsidRPr="00441140">
              <w:rPr>
                <w:rFonts w:ascii="Calibri" w:hAnsi="Calibri" w:cs="Arial"/>
                <w:sz w:val="22"/>
                <w:szCs w:val="22"/>
              </w:rPr>
              <w:t xml:space="preserve">Observe how a variety of </w:t>
            </w:r>
            <w:r>
              <w:rPr>
                <w:rFonts w:ascii="Calibri" w:hAnsi="Calibri" w:cs="Arial"/>
                <w:sz w:val="22"/>
                <w:szCs w:val="22"/>
              </w:rPr>
              <w:t>topics</w:t>
            </w:r>
            <w:r w:rsidRPr="00441140">
              <w:rPr>
                <w:rFonts w:ascii="Calibri" w:hAnsi="Calibri" w:cs="Arial"/>
                <w:sz w:val="22"/>
                <w:szCs w:val="22"/>
              </w:rPr>
              <w:t xml:space="preserve"> may be taught within </w:t>
            </w:r>
            <w:r w:rsidR="0055546C">
              <w:rPr>
                <w:rFonts w:ascii="Calibri" w:hAnsi="Calibri" w:cs="Arial"/>
                <w:sz w:val="22"/>
                <w:szCs w:val="22"/>
              </w:rPr>
              <w:t xml:space="preserve">the </w:t>
            </w:r>
            <w:r>
              <w:rPr>
                <w:rFonts w:ascii="Calibri" w:hAnsi="Calibri" w:cs="Arial"/>
                <w:sz w:val="22"/>
                <w:szCs w:val="22"/>
              </w:rPr>
              <w:t>Drama</w:t>
            </w:r>
            <w:r w:rsidRPr="00441140">
              <w:rPr>
                <w:rFonts w:ascii="Calibri" w:hAnsi="Calibri" w:cs="Arial"/>
                <w:sz w:val="22"/>
                <w:szCs w:val="22"/>
              </w:rPr>
              <w:t xml:space="preserve"> </w:t>
            </w:r>
            <w:r w:rsidR="0055546C">
              <w:rPr>
                <w:rFonts w:ascii="Calibri" w:hAnsi="Calibri" w:cs="Arial"/>
                <w:sz w:val="22"/>
                <w:szCs w:val="22"/>
              </w:rPr>
              <w:t>curriculum</w:t>
            </w:r>
            <w:r w:rsidRPr="00441140">
              <w:rPr>
                <w:rFonts w:ascii="Calibri" w:hAnsi="Calibri" w:cs="Arial"/>
                <w:sz w:val="22"/>
                <w:szCs w:val="22"/>
              </w:rPr>
              <w:t xml:space="preserve">.  </w:t>
            </w:r>
          </w:p>
          <w:p w14:paraId="7B667839" w14:textId="77777777" w:rsidR="00C434E8" w:rsidRPr="00441140" w:rsidRDefault="00C434E8" w:rsidP="00AD46EA">
            <w:pPr>
              <w:rPr>
                <w:rFonts w:ascii="Calibri" w:hAnsi="Calibri" w:cs="Arial"/>
                <w:sz w:val="22"/>
              </w:rPr>
            </w:pPr>
            <w:r w:rsidRPr="00441140">
              <w:rPr>
                <w:rFonts w:ascii="Calibri" w:hAnsi="Calibri" w:cs="Arial"/>
                <w:sz w:val="22"/>
                <w:szCs w:val="22"/>
              </w:rPr>
              <w:t>For example:</w:t>
            </w:r>
          </w:p>
          <w:p w14:paraId="251F2130" w14:textId="77777777" w:rsidR="00C434E8" w:rsidRPr="00B149FE" w:rsidRDefault="00C434E8" w:rsidP="00AD46EA">
            <w:pPr>
              <w:numPr>
                <w:ilvl w:val="0"/>
                <w:numId w:val="4"/>
              </w:numPr>
              <w:ind w:left="714" w:hanging="357"/>
              <w:rPr>
                <w:rFonts w:asciiTheme="minorHAnsi" w:hAnsiTheme="minorHAnsi" w:cs="Arial"/>
              </w:rPr>
            </w:pPr>
            <w:r w:rsidRPr="00B149FE">
              <w:rPr>
                <w:rFonts w:asciiTheme="minorHAnsi" w:hAnsiTheme="minorHAnsi"/>
              </w:rPr>
              <w:t>Characteristics of performance text(s) and dramatic work</w:t>
            </w:r>
          </w:p>
          <w:p w14:paraId="3648F94B" w14:textId="77777777" w:rsidR="00C434E8" w:rsidRPr="00382E44" w:rsidRDefault="00C434E8" w:rsidP="00382E44">
            <w:pPr>
              <w:numPr>
                <w:ilvl w:val="0"/>
                <w:numId w:val="4"/>
              </w:numPr>
              <w:ind w:left="714" w:hanging="357"/>
              <w:rPr>
                <w:rFonts w:asciiTheme="minorHAnsi" w:hAnsiTheme="minorHAnsi" w:cs="Arial"/>
              </w:rPr>
            </w:pPr>
            <w:r w:rsidRPr="00B149FE">
              <w:rPr>
                <w:rFonts w:asciiTheme="minorHAnsi" w:hAnsiTheme="minorHAnsi"/>
              </w:rPr>
              <w:t>Social, cultural and historical contexts</w:t>
            </w:r>
          </w:p>
          <w:p w14:paraId="28907755" w14:textId="77777777" w:rsidR="00C434E8" w:rsidRPr="00B149FE" w:rsidRDefault="00C434E8" w:rsidP="00AD46EA">
            <w:pPr>
              <w:numPr>
                <w:ilvl w:val="0"/>
                <w:numId w:val="4"/>
              </w:numPr>
              <w:ind w:left="714" w:hanging="357"/>
              <w:rPr>
                <w:rFonts w:asciiTheme="minorHAnsi" w:hAnsiTheme="minorHAnsi" w:cs="Arial"/>
              </w:rPr>
            </w:pPr>
            <w:r w:rsidRPr="00B149FE">
              <w:rPr>
                <w:rFonts w:asciiTheme="minorHAnsi" w:hAnsiTheme="minorHAnsi"/>
              </w:rPr>
              <w:t xml:space="preserve">Drama and theatre terminology </w:t>
            </w:r>
          </w:p>
          <w:p w14:paraId="493EBD7D" w14:textId="77777777" w:rsidR="00C434E8" w:rsidRPr="00B149FE" w:rsidRDefault="00D5099D" w:rsidP="00AD46EA">
            <w:pPr>
              <w:numPr>
                <w:ilvl w:val="0"/>
                <w:numId w:val="4"/>
              </w:numPr>
              <w:ind w:left="714" w:hanging="357"/>
              <w:rPr>
                <w:rFonts w:asciiTheme="minorHAnsi" w:hAnsiTheme="minorHAnsi"/>
              </w:rPr>
            </w:pPr>
            <w:r>
              <w:rPr>
                <w:rFonts w:asciiTheme="minorHAnsi" w:hAnsiTheme="minorHAnsi"/>
              </w:rPr>
              <w:t>R</w:t>
            </w:r>
            <w:r w:rsidR="00C434E8" w:rsidRPr="00B149FE">
              <w:rPr>
                <w:rFonts w:asciiTheme="minorHAnsi" w:hAnsiTheme="minorHAnsi"/>
              </w:rPr>
              <w:t>oles and responsibilities of theatre makers in contemporary professional practice</w:t>
            </w:r>
          </w:p>
          <w:p w14:paraId="291F5AD9" w14:textId="77777777" w:rsidR="00C434E8" w:rsidRDefault="00C434E8" w:rsidP="00D5099D">
            <w:pPr>
              <w:numPr>
                <w:ilvl w:val="0"/>
                <w:numId w:val="4"/>
              </w:numPr>
              <w:ind w:left="714" w:hanging="357"/>
              <w:rPr>
                <w:rFonts w:asciiTheme="minorHAnsi" w:hAnsiTheme="minorHAnsi"/>
              </w:rPr>
            </w:pPr>
            <w:r w:rsidRPr="00B149FE">
              <w:rPr>
                <w:rFonts w:asciiTheme="minorHAnsi" w:hAnsiTheme="minorHAnsi"/>
              </w:rPr>
              <w:t>Set plays</w:t>
            </w:r>
            <w:r w:rsidR="00D5099D">
              <w:rPr>
                <w:rFonts w:asciiTheme="minorHAnsi" w:hAnsiTheme="minorHAnsi"/>
              </w:rPr>
              <w:t>, specific genres, theatrical skills, analysis of live theatre</w:t>
            </w:r>
          </w:p>
          <w:p w14:paraId="06F83470" w14:textId="44526CA9" w:rsidR="006B7E04" w:rsidRPr="00D5099D" w:rsidRDefault="006B7E04" w:rsidP="006B7E04">
            <w:pPr>
              <w:rPr>
                <w:rFonts w:asciiTheme="minorHAnsi" w:hAnsiTheme="minorHAnsi"/>
              </w:rPr>
            </w:pPr>
          </w:p>
        </w:tc>
      </w:tr>
      <w:tr w:rsidR="006B7E04" w:rsidRPr="00441140" w14:paraId="5FC919D8" w14:textId="77777777" w:rsidTr="001318C3">
        <w:tc>
          <w:tcPr>
            <w:tcW w:w="519" w:type="dxa"/>
          </w:tcPr>
          <w:p w14:paraId="07D2F779" w14:textId="585FC8BF" w:rsidR="006B7E04" w:rsidRDefault="006B7E04" w:rsidP="00443B70">
            <w:pPr>
              <w:jc w:val="center"/>
              <w:rPr>
                <w:rFonts w:ascii="Calibri" w:hAnsi="Calibri" w:cs="Arial"/>
                <w:sz w:val="22"/>
              </w:rPr>
            </w:pPr>
            <w:r w:rsidRPr="006D363C">
              <w:rPr>
                <w:rFonts w:ascii="Calibri" w:hAnsi="Calibri" w:cs="Arial"/>
                <w:bCs/>
                <w:sz w:val="22"/>
                <w:szCs w:val="22"/>
              </w:rPr>
              <w:sym w:font="Wingdings" w:char="F0FC"/>
            </w:r>
          </w:p>
          <w:p w14:paraId="76CE4383" w14:textId="40F16596" w:rsidR="006B7E04" w:rsidRDefault="006B7E04" w:rsidP="00443B70">
            <w:pPr>
              <w:jc w:val="center"/>
              <w:rPr>
                <w:rFonts w:ascii="Calibri" w:hAnsi="Calibri" w:cs="Arial"/>
                <w:sz w:val="22"/>
              </w:rPr>
            </w:pPr>
          </w:p>
        </w:tc>
        <w:tc>
          <w:tcPr>
            <w:tcW w:w="615" w:type="dxa"/>
          </w:tcPr>
          <w:p w14:paraId="6200F173" w14:textId="436C977A" w:rsidR="006B7E04" w:rsidRDefault="006B7E04" w:rsidP="00443B70">
            <w:pPr>
              <w:jc w:val="center"/>
              <w:rPr>
                <w:rFonts w:ascii="Calibri" w:hAnsi="Calibri" w:cs="Arial"/>
                <w:sz w:val="22"/>
              </w:rPr>
            </w:pPr>
            <w:r>
              <w:rPr>
                <w:rFonts w:ascii="Calibri" w:hAnsi="Calibri" w:cs="Arial"/>
                <w:sz w:val="22"/>
                <w:szCs w:val="22"/>
              </w:rPr>
              <w:t>8</w:t>
            </w:r>
          </w:p>
        </w:tc>
        <w:tc>
          <w:tcPr>
            <w:tcW w:w="9976" w:type="dxa"/>
          </w:tcPr>
          <w:p w14:paraId="72EDC10B" w14:textId="77777777" w:rsidR="006B7E04" w:rsidRDefault="006B7E04" w:rsidP="006B7E04">
            <w:pPr>
              <w:rPr>
                <w:rFonts w:ascii="Calibri" w:hAnsi="Calibri" w:cs="Arial"/>
                <w:bCs/>
              </w:rPr>
            </w:pPr>
            <w:r>
              <w:rPr>
                <w:rFonts w:ascii="Calibri" w:hAnsi="Calibri" w:cs="Arial"/>
                <w:bCs/>
              </w:rPr>
              <w:t xml:space="preserve">Essential reading: </w:t>
            </w:r>
            <w:hyperlink r:id="rId11" w:history="1">
              <w:r w:rsidRPr="00FF2B72">
                <w:rPr>
                  <w:rStyle w:val="Hyperlink"/>
                  <w:rFonts w:ascii="Calibri" w:hAnsi="Calibri" w:cs="Arial"/>
                  <w:bCs/>
                </w:rPr>
                <w:t>https://teacherhead.com/2017/06/03/teaching-and-learning-research-summaries-a-collection-for-easy-access/</w:t>
              </w:r>
            </w:hyperlink>
          </w:p>
          <w:p w14:paraId="593BA22A" w14:textId="77777777" w:rsidR="006B7E04" w:rsidRPr="00441140" w:rsidRDefault="006B7E04" w:rsidP="00AD46EA">
            <w:pPr>
              <w:rPr>
                <w:rFonts w:ascii="Calibri" w:hAnsi="Calibri" w:cs="Arial"/>
                <w:sz w:val="22"/>
              </w:rPr>
            </w:pPr>
          </w:p>
        </w:tc>
      </w:tr>
    </w:tbl>
    <w:p w14:paraId="085B6871" w14:textId="77777777" w:rsidR="00260635" w:rsidRDefault="00260635"/>
    <w:sectPr w:rsidR="00260635" w:rsidSect="0021342B">
      <w:headerReference w:type="default" r:id="rId12"/>
      <w:footerReference w:type="default" r:id="rId13"/>
      <w:pgSz w:w="12240" w:h="15840"/>
      <w:pgMar w:top="152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C3C4" w14:textId="77777777" w:rsidR="00B1198E" w:rsidRDefault="00B1198E">
      <w:r>
        <w:separator/>
      </w:r>
    </w:p>
  </w:endnote>
  <w:endnote w:type="continuationSeparator" w:id="0">
    <w:p w14:paraId="685D49F1" w14:textId="77777777" w:rsidR="00B1198E" w:rsidRDefault="00B1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3C3" w14:textId="77777777" w:rsidR="0095204D" w:rsidRDefault="0095204D" w:rsidP="0095204D">
    <w:pPr>
      <w:pStyle w:val="Footer"/>
      <w:tabs>
        <w:tab w:val="clear" w:pos="4513"/>
        <w:tab w:val="clear" w:pos="9026"/>
        <w:tab w:val="left" w:pos="1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7B39" w14:textId="77777777" w:rsidR="00B1198E" w:rsidRDefault="00B1198E">
      <w:r>
        <w:separator/>
      </w:r>
    </w:p>
  </w:footnote>
  <w:footnote w:type="continuationSeparator" w:id="0">
    <w:p w14:paraId="4BFD6E0B" w14:textId="77777777" w:rsidR="00B1198E" w:rsidRDefault="00B1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F72" w14:textId="77777777" w:rsidR="0095204D" w:rsidRDefault="0021342B">
    <w:pPr>
      <w:pStyle w:val="Header"/>
    </w:pPr>
    <w:r>
      <w:rPr>
        <w:rFonts w:ascii="Calibri" w:hAnsi="Calibri"/>
        <w:b/>
        <w:noProof/>
        <w:color w:val="FFFFFF"/>
        <w:sz w:val="28"/>
        <w:szCs w:val="28"/>
        <w:lang w:eastAsia="en-GB"/>
      </w:rPr>
      <w:drawing>
        <wp:inline distT="0" distB="0" distL="0" distR="0" wp14:anchorId="1653A7E1" wp14:editId="225C1BC3">
          <wp:extent cx="1581150" cy="742950"/>
          <wp:effectExtent l="0" t="0" r="0" b="0"/>
          <wp:docPr id="2" name="Picture 2" descr="Description: L:\ITT\Logos\Plymouth_Marjon_University_TEP_Logo_RED_&amp;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TT\Logos\Plymouth_Marjon_University_TEP_Logo_RED_&amp;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visibility:visible;mso-wrap-style:square" o:bullet="t">
        <v:imagedata r:id="rId1" o:title=""/>
      </v:shape>
    </w:pict>
  </w:numPicBullet>
  <w:abstractNum w:abstractNumId="0" w15:restartNumberingAfterBreak="0">
    <w:nsid w:val="0E8F2D85"/>
    <w:multiLevelType w:val="hybridMultilevel"/>
    <w:tmpl w:val="91A6335A"/>
    <w:lvl w:ilvl="0" w:tplc="7E1C7DF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15F57"/>
    <w:multiLevelType w:val="hybridMultilevel"/>
    <w:tmpl w:val="1750D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F52A2"/>
    <w:multiLevelType w:val="hybridMultilevel"/>
    <w:tmpl w:val="93827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228"/>
    <w:multiLevelType w:val="hybridMultilevel"/>
    <w:tmpl w:val="5E00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E0C49"/>
    <w:multiLevelType w:val="hybridMultilevel"/>
    <w:tmpl w:val="9DAC3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EC3"/>
    <w:rsid w:val="00071B0D"/>
    <w:rsid w:val="001318C3"/>
    <w:rsid w:val="0021342B"/>
    <w:rsid w:val="00260635"/>
    <w:rsid w:val="002A7808"/>
    <w:rsid w:val="002D4704"/>
    <w:rsid w:val="002D47F4"/>
    <w:rsid w:val="00352FE2"/>
    <w:rsid w:val="00382E44"/>
    <w:rsid w:val="003A02A6"/>
    <w:rsid w:val="004E0AF2"/>
    <w:rsid w:val="00525508"/>
    <w:rsid w:val="0055546C"/>
    <w:rsid w:val="00556969"/>
    <w:rsid w:val="00680268"/>
    <w:rsid w:val="006B7E04"/>
    <w:rsid w:val="006D66B7"/>
    <w:rsid w:val="0073784D"/>
    <w:rsid w:val="007559FD"/>
    <w:rsid w:val="008364E7"/>
    <w:rsid w:val="00871F01"/>
    <w:rsid w:val="008D0D34"/>
    <w:rsid w:val="009312BF"/>
    <w:rsid w:val="0095204D"/>
    <w:rsid w:val="009A1C03"/>
    <w:rsid w:val="00A51F60"/>
    <w:rsid w:val="00A66E09"/>
    <w:rsid w:val="00A84946"/>
    <w:rsid w:val="00B1198E"/>
    <w:rsid w:val="00B149FE"/>
    <w:rsid w:val="00B60C9A"/>
    <w:rsid w:val="00B9424E"/>
    <w:rsid w:val="00BF0306"/>
    <w:rsid w:val="00C434E8"/>
    <w:rsid w:val="00C47634"/>
    <w:rsid w:val="00C869BE"/>
    <w:rsid w:val="00D22EC3"/>
    <w:rsid w:val="00D5099D"/>
    <w:rsid w:val="00D91EF7"/>
    <w:rsid w:val="00DC05F4"/>
    <w:rsid w:val="00E31768"/>
    <w:rsid w:val="00EC0AC6"/>
    <w:rsid w:val="00EF079F"/>
    <w:rsid w:val="00F05E83"/>
    <w:rsid w:val="00F176CF"/>
    <w:rsid w:val="00F17D22"/>
    <w:rsid w:val="00F56E3B"/>
    <w:rsid w:val="00FD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D5A6B60"/>
  <w15:docId w15:val="{92F185E0-15A8-4533-9E4C-35CAD159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C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2EC3"/>
    <w:pPr>
      <w:tabs>
        <w:tab w:val="center" w:pos="4513"/>
        <w:tab w:val="right" w:pos="9026"/>
      </w:tabs>
    </w:pPr>
  </w:style>
  <w:style w:type="character" w:customStyle="1" w:styleId="HeaderChar">
    <w:name w:val="Header Char"/>
    <w:basedOn w:val="DefaultParagraphFont"/>
    <w:link w:val="Header"/>
    <w:uiPriority w:val="99"/>
    <w:rsid w:val="00D22EC3"/>
    <w:rPr>
      <w:rFonts w:ascii="Times New Roman" w:eastAsia="Times New Roman" w:hAnsi="Times New Roman" w:cs="Times New Roman"/>
      <w:szCs w:val="24"/>
    </w:rPr>
  </w:style>
  <w:style w:type="paragraph" w:styleId="Footer">
    <w:name w:val="footer"/>
    <w:basedOn w:val="Normal"/>
    <w:link w:val="FooterChar"/>
    <w:rsid w:val="00D22EC3"/>
    <w:pPr>
      <w:tabs>
        <w:tab w:val="center" w:pos="4513"/>
        <w:tab w:val="right" w:pos="9026"/>
      </w:tabs>
    </w:pPr>
  </w:style>
  <w:style w:type="character" w:customStyle="1" w:styleId="FooterChar">
    <w:name w:val="Footer Char"/>
    <w:basedOn w:val="DefaultParagraphFont"/>
    <w:link w:val="Footer"/>
    <w:rsid w:val="00D22EC3"/>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22EC3"/>
    <w:rPr>
      <w:rFonts w:ascii="Tahoma" w:hAnsi="Tahoma" w:cs="Tahoma"/>
      <w:sz w:val="16"/>
      <w:szCs w:val="16"/>
    </w:rPr>
  </w:style>
  <w:style w:type="character" w:customStyle="1" w:styleId="BalloonTextChar">
    <w:name w:val="Balloon Text Char"/>
    <w:basedOn w:val="DefaultParagraphFont"/>
    <w:link w:val="BalloonText"/>
    <w:uiPriority w:val="99"/>
    <w:semiHidden/>
    <w:rsid w:val="00D22EC3"/>
    <w:rPr>
      <w:rFonts w:ascii="Tahoma" w:eastAsia="Times New Roman" w:hAnsi="Tahoma" w:cs="Tahoma"/>
      <w:sz w:val="16"/>
      <w:szCs w:val="16"/>
    </w:rPr>
  </w:style>
  <w:style w:type="paragraph" w:customStyle="1" w:styleId="Default">
    <w:name w:val="Default"/>
    <w:rsid w:val="00525508"/>
    <w:pPr>
      <w:autoSpaceDE w:val="0"/>
      <w:autoSpaceDN w:val="0"/>
      <w:adjustRightInd w:val="0"/>
      <w:spacing w:after="0" w:line="240" w:lineRule="auto"/>
    </w:pPr>
    <w:rPr>
      <w:rFonts w:ascii="Arial" w:hAnsi="Arial" w:cs="Arial"/>
      <w:color w:val="000000"/>
      <w:szCs w:val="24"/>
    </w:rPr>
  </w:style>
  <w:style w:type="character" w:styleId="Hyperlink">
    <w:name w:val="Hyperlink"/>
    <w:rsid w:val="00FD1E3B"/>
    <w:rPr>
      <w:color w:val="0000FF"/>
      <w:u w:val="single"/>
    </w:rPr>
  </w:style>
  <w:style w:type="paragraph" w:styleId="ListParagraph">
    <w:name w:val="List Paragraph"/>
    <w:basedOn w:val="Normal"/>
    <w:uiPriority w:val="34"/>
    <w:qFormat/>
    <w:rsid w:val="00D5099D"/>
    <w:pPr>
      <w:ind w:left="720"/>
      <w:contextualSpacing/>
    </w:pPr>
  </w:style>
  <w:style w:type="paragraph" w:customStyle="1" w:styleId="paragraph">
    <w:name w:val="paragraph"/>
    <w:basedOn w:val="Normal"/>
    <w:rsid w:val="00F05E83"/>
    <w:pPr>
      <w:spacing w:before="100" w:beforeAutospacing="1" w:after="100" w:afterAutospacing="1"/>
    </w:pPr>
    <w:rPr>
      <w:lang w:eastAsia="en-GB"/>
    </w:rPr>
  </w:style>
  <w:style w:type="character" w:customStyle="1" w:styleId="normaltextrun">
    <w:name w:val="normaltextrun"/>
    <w:basedOn w:val="DefaultParagraphFont"/>
    <w:rsid w:val="00F05E83"/>
  </w:style>
  <w:style w:type="character" w:customStyle="1" w:styleId="eop">
    <w:name w:val="eop"/>
    <w:basedOn w:val="DefaultParagraphFont"/>
    <w:rsid w:val="00F0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373">
      <w:bodyDiv w:val="1"/>
      <w:marLeft w:val="0"/>
      <w:marRight w:val="0"/>
      <w:marTop w:val="0"/>
      <w:marBottom w:val="0"/>
      <w:divBdr>
        <w:top w:val="none" w:sz="0" w:space="0" w:color="auto"/>
        <w:left w:val="none" w:sz="0" w:space="0" w:color="auto"/>
        <w:bottom w:val="none" w:sz="0" w:space="0" w:color="auto"/>
        <w:right w:val="none" w:sz="0" w:space="0" w:color="auto"/>
      </w:divBdr>
    </w:div>
    <w:div w:id="254171349">
      <w:bodyDiv w:val="1"/>
      <w:marLeft w:val="0"/>
      <w:marRight w:val="0"/>
      <w:marTop w:val="0"/>
      <w:marBottom w:val="0"/>
      <w:divBdr>
        <w:top w:val="none" w:sz="0" w:space="0" w:color="auto"/>
        <w:left w:val="none" w:sz="0" w:space="0" w:color="auto"/>
        <w:bottom w:val="none" w:sz="0" w:space="0" w:color="auto"/>
        <w:right w:val="none" w:sz="0" w:space="0" w:color="auto"/>
      </w:divBdr>
    </w:div>
    <w:div w:id="379210288">
      <w:bodyDiv w:val="1"/>
      <w:marLeft w:val="0"/>
      <w:marRight w:val="0"/>
      <w:marTop w:val="0"/>
      <w:marBottom w:val="0"/>
      <w:divBdr>
        <w:top w:val="none" w:sz="0" w:space="0" w:color="auto"/>
        <w:left w:val="none" w:sz="0" w:space="0" w:color="auto"/>
        <w:bottom w:val="none" w:sz="0" w:space="0" w:color="auto"/>
        <w:right w:val="none" w:sz="0" w:space="0" w:color="auto"/>
      </w:divBdr>
    </w:div>
    <w:div w:id="7865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20050/KCSIE_2021_September_guidanc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learning.prevent.homeoffice.gov.uk/channel_awareness/01-welcom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erhead.com/2017/06/03/teaching-and-learning-research-summaries-a-collection-for-easy-acc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sendgatewa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Cowan</cp:lastModifiedBy>
  <cp:revision>2</cp:revision>
  <dcterms:created xsi:type="dcterms:W3CDTF">2021-11-17T07:49:00Z</dcterms:created>
  <dcterms:modified xsi:type="dcterms:W3CDTF">2021-11-17T07:49:00Z</dcterms:modified>
</cp:coreProperties>
</file>