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183E" w14:textId="77777777" w:rsidR="00446883" w:rsidRPr="00441140" w:rsidRDefault="00887A6C" w:rsidP="00441140">
      <w:pPr>
        <w:jc w:val="center"/>
        <w:rPr>
          <w:rFonts w:ascii="Calibri" w:hAnsi="Calibri" w:cs="Arial"/>
          <w:b/>
          <w:bCs/>
        </w:rPr>
      </w:pPr>
      <w:r w:rsidRPr="006C10BE">
        <w:rPr>
          <w:rFonts w:ascii="Calibri" w:hAnsi="Calibri" w:cs="Arial"/>
          <w:b/>
          <w:bCs/>
          <w:highlight w:val="yellow"/>
        </w:rPr>
        <w:t>English</w:t>
      </w:r>
      <w:r w:rsidR="00446883" w:rsidRPr="00441140">
        <w:rPr>
          <w:rFonts w:ascii="Calibri" w:hAnsi="Calibri" w:cs="Arial"/>
          <w:b/>
          <w:bCs/>
        </w:rPr>
        <w:t xml:space="preserve"> Initial Teacher Training Secondary Partnership</w:t>
      </w:r>
    </w:p>
    <w:p w14:paraId="696BD88A" w14:textId="77777777" w:rsidR="00446883" w:rsidRPr="00441140" w:rsidRDefault="00446883" w:rsidP="00446883">
      <w:pPr>
        <w:jc w:val="center"/>
        <w:rPr>
          <w:rFonts w:ascii="Calibri" w:hAnsi="Calibri" w:cs="Arial"/>
          <w:b/>
          <w:bCs/>
        </w:rPr>
      </w:pPr>
      <w:r w:rsidRPr="00441140">
        <w:rPr>
          <w:rFonts w:ascii="Calibri" w:hAnsi="Calibri" w:cs="Arial"/>
          <w:b/>
          <w:bCs/>
        </w:rPr>
        <w:t>PRE-COURSE TASKS</w:t>
      </w:r>
    </w:p>
    <w:p w14:paraId="695F140D" w14:textId="77777777" w:rsidR="00261AFD" w:rsidRPr="00AE4A9D" w:rsidRDefault="00552599" w:rsidP="00AE4A9D">
      <w:pPr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2018-19</w:t>
      </w:r>
    </w:p>
    <w:p w14:paraId="7F912277" w14:textId="77777777" w:rsidR="00102C98" w:rsidRPr="00441140" w:rsidRDefault="00102C98" w:rsidP="00102C98">
      <w:pPr>
        <w:rPr>
          <w:rFonts w:ascii="Calibri" w:hAnsi="Calibri" w:cs="Arial"/>
        </w:rPr>
      </w:pPr>
      <w:r w:rsidRPr="00441140">
        <w:rPr>
          <w:rFonts w:ascii="Calibri" w:hAnsi="Calibri" w:cs="Arial"/>
        </w:rPr>
        <w:t>Name of Trainee:</w:t>
      </w:r>
    </w:p>
    <w:p w14:paraId="7DE43712" w14:textId="77777777" w:rsidR="00853B44" w:rsidRPr="00441140" w:rsidRDefault="00853B44" w:rsidP="00102C98">
      <w:pPr>
        <w:jc w:val="both"/>
        <w:rPr>
          <w:rFonts w:ascii="Calibri" w:hAnsi="Calibri" w:cs="Arial"/>
        </w:rPr>
      </w:pPr>
    </w:p>
    <w:p w14:paraId="3721B9E1" w14:textId="77777777" w:rsidR="00B10A3C" w:rsidRPr="00441140" w:rsidRDefault="00102C98" w:rsidP="00102C98">
      <w:pPr>
        <w:jc w:val="both"/>
        <w:rPr>
          <w:rFonts w:ascii="Calibri" w:hAnsi="Calibri" w:cs="Arial"/>
          <w:sz w:val="22"/>
          <w:szCs w:val="22"/>
        </w:rPr>
      </w:pPr>
      <w:r w:rsidRPr="00441140">
        <w:rPr>
          <w:rFonts w:ascii="Calibri" w:hAnsi="Calibri" w:cs="Arial"/>
          <w:sz w:val="22"/>
          <w:szCs w:val="22"/>
        </w:rPr>
        <w:t xml:space="preserve">Welcome to the </w:t>
      </w:r>
      <w:r w:rsidR="005656A0">
        <w:rPr>
          <w:rFonts w:ascii="Calibri" w:hAnsi="Calibri" w:cs="Arial"/>
          <w:sz w:val="22"/>
          <w:szCs w:val="22"/>
        </w:rPr>
        <w:t>PGCE</w:t>
      </w:r>
      <w:r w:rsidR="001D1D7F" w:rsidRPr="00441140">
        <w:rPr>
          <w:rFonts w:ascii="Calibri" w:hAnsi="Calibri" w:cs="Arial"/>
          <w:sz w:val="22"/>
          <w:szCs w:val="22"/>
        </w:rPr>
        <w:t xml:space="preserve"> </w:t>
      </w:r>
      <w:r w:rsidR="003352EC" w:rsidRPr="00441140">
        <w:rPr>
          <w:rFonts w:ascii="Calibri" w:hAnsi="Calibri" w:cs="Arial"/>
          <w:sz w:val="22"/>
          <w:szCs w:val="22"/>
        </w:rPr>
        <w:t xml:space="preserve">Secondary </w:t>
      </w:r>
      <w:r w:rsidR="001D1D7F" w:rsidRPr="00441140">
        <w:rPr>
          <w:rFonts w:ascii="Calibri" w:hAnsi="Calibri" w:cs="Arial"/>
          <w:sz w:val="22"/>
          <w:szCs w:val="22"/>
        </w:rPr>
        <w:t xml:space="preserve">Education and </w:t>
      </w:r>
      <w:r w:rsidR="00887A6C">
        <w:rPr>
          <w:rFonts w:ascii="Calibri" w:hAnsi="Calibri" w:cs="Arial"/>
          <w:sz w:val="22"/>
          <w:szCs w:val="22"/>
        </w:rPr>
        <w:t>English</w:t>
      </w:r>
      <w:r w:rsidR="003352EC" w:rsidRPr="00441140">
        <w:rPr>
          <w:rFonts w:ascii="Calibri" w:hAnsi="Calibri" w:cs="Arial"/>
          <w:sz w:val="22"/>
          <w:szCs w:val="22"/>
        </w:rPr>
        <w:t xml:space="preserve"> </w:t>
      </w:r>
      <w:r w:rsidR="001D1D7F" w:rsidRPr="00441140">
        <w:rPr>
          <w:rFonts w:ascii="Calibri" w:hAnsi="Calibri" w:cs="Arial"/>
          <w:sz w:val="22"/>
          <w:szCs w:val="22"/>
        </w:rPr>
        <w:t>programme</w:t>
      </w:r>
      <w:r w:rsidRPr="00441140">
        <w:rPr>
          <w:rFonts w:ascii="Calibri" w:hAnsi="Calibri" w:cs="Arial"/>
          <w:sz w:val="22"/>
          <w:szCs w:val="22"/>
        </w:rPr>
        <w:t xml:space="preserve">.  </w:t>
      </w:r>
      <w:proofErr w:type="gramStart"/>
      <w:r w:rsidRPr="00441140">
        <w:rPr>
          <w:rFonts w:ascii="Calibri" w:hAnsi="Calibri" w:cs="Arial"/>
          <w:sz w:val="22"/>
          <w:szCs w:val="22"/>
        </w:rPr>
        <w:t>In order to</w:t>
      </w:r>
      <w:proofErr w:type="gramEnd"/>
      <w:r w:rsidRPr="00441140">
        <w:rPr>
          <w:rFonts w:ascii="Calibri" w:hAnsi="Calibri" w:cs="Arial"/>
          <w:sz w:val="22"/>
          <w:szCs w:val="22"/>
        </w:rPr>
        <w:t xml:space="preserve"> help you prepare for the demands of the </w:t>
      </w:r>
      <w:r w:rsidR="003352EC" w:rsidRPr="00441140">
        <w:rPr>
          <w:rFonts w:ascii="Calibri" w:hAnsi="Calibri" w:cs="Arial"/>
          <w:sz w:val="22"/>
          <w:szCs w:val="22"/>
        </w:rPr>
        <w:t>course</w:t>
      </w:r>
      <w:r w:rsidRPr="00441140">
        <w:rPr>
          <w:rFonts w:ascii="Calibri" w:hAnsi="Calibri" w:cs="Arial"/>
          <w:sz w:val="22"/>
          <w:szCs w:val="22"/>
        </w:rPr>
        <w:t xml:space="preserve">, particular pre-course tasks are specified below.  </w:t>
      </w:r>
    </w:p>
    <w:p w14:paraId="23E4CED2" w14:textId="77777777" w:rsidR="00102C98" w:rsidRPr="00441140" w:rsidRDefault="00102C98" w:rsidP="00102C98">
      <w:pPr>
        <w:jc w:val="both"/>
        <w:rPr>
          <w:rFonts w:ascii="Calibri" w:hAnsi="Calibri" w:cs="Arial"/>
          <w:sz w:val="22"/>
          <w:szCs w:val="22"/>
        </w:rPr>
      </w:pPr>
      <w:r w:rsidRPr="00441140">
        <w:rPr>
          <w:rFonts w:ascii="Calibri" w:hAnsi="Calibri" w:cs="Arial"/>
          <w:sz w:val="22"/>
          <w:szCs w:val="22"/>
        </w:rPr>
        <w:t xml:space="preserve">It is expected that you will work on these tasks before starting the </w:t>
      </w:r>
      <w:r w:rsidR="003352EC" w:rsidRPr="00441140">
        <w:rPr>
          <w:rFonts w:ascii="Calibri" w:hAnsi="Calibri" w:cs="Arial"/>
          <w:sz w:val="22"/>
          <w:szCs w:val="22"/>
        </w:rPr>
        <w:t>course</w:t>
      </w:r>
      <w:r w:rsidR="008C1E0E">
        <w:rPr>
          <w:rFonts w:ascii="Calibri" w:hAnsi="Calibri" w:cs="Arial"/>
          <w:sz w:val="22"/>
          <w:szCs w:val="22"/>
        </w:rPr>
        <w:t xml:space="preserve"> </w:t>
      </w:r>
      <w:r w:rsidRPr="00441140">
        <w:rPr>
          <w:rFonts w:ascii="Calibri" w:hAnsi="Calibri" w:cs="Arial"/>
          <w:sz w:val="22"/>
          <w:szCs w:val="22"/>
        </w:rPr>
        <w:t xml:space="preserve">and have </w:t>
      </w:r>
      <w:r w:rsidR="00B10A3C" w:rsidRPr="00441140">
        <w:rPr>
          <w:rFonts w:ascii="Calibri" w:hAnsi="Calibri" w:cs="Arial"/>
          <w:sz w:val="22"/>
          <w:szCs w:val="22"/>
        </w:rPr>
        <w:t>experience/</w:t>
      </w:r>
      <w:r w:rsidRPr="00441140">
        <w:rPr>
          <w:rFonts w:ascii="Calibri" w:hAnsi="Calibri" w:cs="Arial"/>
          <w:sz w:val="22"/>
          <w:szCs w:val="22"/>
        </w:rPr>
        <w:t xml:space="preserve">evidence that could be used to inform your Individual Learning Profile.  </w:t>
      </w:r>
      <w:r w:rsidR="00B10A3C" w:rsidRPr="00441140">
        <w:rPr>
          <w:rFonts w:ascii="Calibri" w:hAnsi="Calibri" w:cs="Arial"/>
          <w:sz w:val="22"/>
          <w:szCs w:val="22"/>
        </w:rPr>
        <w:t xml:space="preserve">You will need to bring evidence of completion of these tasks with you to your first meeting with your </w:t>
      </w:r>
      <w:proofErr w:type="gramStart"/>
      <w:r w:rsidR="001D1D7F" w:rsidRPr="00441140">
        <w:rPr>
          <w:rFonts w:ascii="Calibri" w:hAnsi="Calibri" w:cs="Arial"/>
          <w:sz w:val="22"/>
          <w:szCs w:val="22"/>
        </w:rPr>
        <w:t>University</w:t>
      </w:r>
      <w:proofErr w:type="gramEnd"/>
      <w:r w:rsidR="003352EC" w:rsidRPr="00441140">
        <w:rPr>
          <w:rFonts w:ascii="Calibri" w:hAnsi="Calibri" w:cs="Arial"/>
          <w:sz w:val="22"/>
          <w:szCs w:val="22"/>
        </w:rPr>
        <w:t xml:space="preserve"> tutor at the beginning of the </w:t>
      </w:r>
      <w:r w:rsidR="001D1D7F" w:rsidRPr="00441140">
        <w:rPr>
          <w:rFonts w:ascii="Calibri" w:hAnsi="Calibri" w:cs="Arial"/>
          <w:sz w:val="22"/>
          <w:szCs w:val="22"/>
        </w:rPr>
        <w:t>university programme</w:t>
      </w:r>
      <w:r w:rsidR="00B10A3C" w:rsidRPr="00441140">
        <w:rPr>
          <w:rFonts w:ascii="Calibri" w:hAnsi="Calibri" w:cs="Arial"/>
          <w:sz w:val="22"/>
          <w:szCs w:val="22"/>
        </w:rPr>
        <w:t>.</w:t>
      </w:r>
    </w:p>
    <w:p w14:paraId="1BDF1F37" w14:textId="77777777" w:rsidR="00022C05" w:rsidRPr="00441140" w:rsidRDefault="00022C05" w:rsidP="00647E34">
      <w:pPr>
        <w:rPr>
          <w:rFonts w:ascii="Calibri" w:hAnsi="Calibri" w:cs="Arial"/>
          <w:bCs/>
          <w:sz w:val="22"/>
          <w:szCs w:val="22"/>
        </w:rPr>
      </w:pPr>
    </w:p>
    <w:p w14:paraId="59BD3B0C" w14:textId="77777777" w:rsidR="00446883" w:rsidRPr="00441140" w:rsidRDefault="005E284B" w:rsidP="00647E34">
      <w:pPr>
        <w:rPr>
          <w:rFonts w:ascii="Calibri" w:hAnsi="Calibri" w:cs="Arial"/>
          <w:bCs/>
          <w:sz w:val="22"/>
          <w:szCs w:val="22"/>
        </w:rPr>
      </w:pPr>
      <w:r w:rsidRPr="00441140">
        <w:rPr>
          <w:rFonts w:ascii="Calibri" w:hAnsi="Calibri" w:cs="Arial"/>
          <w:bCs/>
          <w:sz w:val="22"/>
          <w:szCs w:val="22"/>
        </w:rPr>
        <w:t xml:space="preserve">You should start work immediately on the  </w:t>
      </w:r>
      <w:r w:rsidRPr="00441140">
        <w:rPr>
          <w:rFonts w:ascii="Calibri" w:hAnsi="Calibri" w:cs="Arial"/>
          <w:bCs/>
          <w:sz w:val="22"/>
          <w:szCs w:val="22"/>
        </w:rPr>
        <w:sym w:font="Wingdings" w:char="F0FC"/>
      </w:r>
      <w:r w:rsidRPr="00441140">
        <w:rPr>
          <w:rFonts w:ascii="Calibri" w:hAnsi="Calibri" w:cs="Arial"/>
          <w:bCs/>
          <w:sz w:val="22"/>
          <w:szCs w:val="22"/>
        </w:rPr>
        <w:t xml:space="preserve"> areas and the areas rated </w:t>
      </w:r>
      <w:r w:rsidR="007C209E" w:rsidRPr="00441140">
        <w:rPr>
          <w:rFonts w:ascii="Calibri" w:hAnsi="Calibri" w:cs="Arial"/>
          <w:bCs/>
          <w:sz w:val="22"/>
          <w:szCs w:val="22"/>
        </w:rPr>
        <w:t>‘d’</w:t>
      </w:r>
      <w:r w:rsidRPr="00441140">
        <w:rPr>
          <w:rFonts w:ascii="Calibri" w:hAnsi="Calibri" w:cs="Arial"/>
          <w:bCs/>
          <w:sz w:val="22"/>
          <w:szCs w:val="22"/>
        </w:rPr>
        <w:t xml:space="preserve"> in </w:t>
      </w:r>
      <w:r w:rsidR="00E02B9C" w:rsidRPr="00441140">
        <w:rPr>
          <w:rFonts w:ascii="Calibri" w:hAnsi="Calibri" w:cs="Arial"/>
          <w:bCs/>
          <w:sz w:val="22"/>
          <w:szCs w:val="22"/>
        </w:rPr>
        <w:t xml:space="preserve">your </w:t>
      </w:r>
      <w:r w:rsidRPr="00441140">
        <w:rPr>
          <w:rFonts w:ascii="Calibri" w:hAnsi="Calibri" w:cs="Arial"/>
          <w:bCs/>
          <w:sz w:val="22"/>
          <w:szCs w:val="22"/>
        </w:rPr>
        <w:t>Subject Knowledge Audit.</w:t>
      </w:r>
    </w:p>
    <w:p w14:paraId="4B8F32CB" w14:textId="77777777" w:rsidR="003352EC" w:rsidRPr="00441140" w:rsidRDefault="003352EC" w:rsidP="003352EC">
      <w:pPr>
        <w:rPr>
          <w:rFonts w:ascii="Calibri" w:hAnsi="Calibri" w:cs="Arial"/>
          <w:b/>
          <w:bCs/>
          <w:sz w:val="22"/>
          <w:szCs w:val="22"/>
        </w:rPr>
      </w:pPr>
    </w:p>
    <w:tbl>
      <w:tblPr>
        <w:tblW w:w="11118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15"/>
        <w:gridCol w:w="9984"/>
      </w:tblGrid>
      <w:tr w:rsidR="000406B3" w:rsidRPr="00441140" w14:paraId="23B87117" w14:textId="77777777" w:rsidTr="00794594">
        <w:tc>
          <w:tcPr>
            <w:tcW w:w="519" w:type="dxa"/>
          </w:tcPr>
          <w:p w14:paraId="4F9C841D" w14:textId="77777777" w:rsidR="000406B3" w:rsidRPr="00441140" w:rsidRDefault="000406B3" w:rsidP="00C369C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/>
                <w:bCs/>
                <w:sz w:val="22"/>
                <w:szCs w:val="22"/>
              </w:rPr>
              <w:sym w:font="Wingdings" w:char="F0FC"/>
            </w:r>
          </w:p>
        </w:tc>
        <w:tc>
          <w:tcPr>
            <w:tcW w:w="615" w:type="dxa"/>
          </w:tcPr>
          <w:p w14:paraId="42853BBB" w14:textId="77777777" w:rsidR="000406B3" w:rsidRPr="00441140" w:rsidRDefault="000406B3" w:rsidP="000406B3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9984" w:type="dxa"/>
          </w:tcPr>
          <w:p w14:paraId="0C513DB1" w14:textId="77777777" w:rsidR="000406B3" w:rsidRPr="00441140" w:rsidRDefault="000406B3" w:rsidP="00C369C3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Tasks </w:t>
            </w:r>
          </w:p>
        </w:tc>
      </w:tr>
      <w:tr w:rsidR="00F9286E" w:rsidRPr="002A057A" w14:paraId="0627765E" w14:textId="77777777" w:rsidTr="0079459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4543" w14:textId="77777777" w:rsidR="00F9286E" w:rsidRPr="002A057A" w:rsidRDefault="00F9286E" w:rsidP="001E60A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A057A">
              <w:rPr>
                <w:rFonts w:ascii="Calibri" w:hAnsi="Calibri" w:cs="Arial"/>
                <w:bCs/>
                <w:sz w:val="22"/>
                <w:szCs w:val="22"/>
              </w:rPr>
              <w:sym w:font="Wingdings" w:char="F0FC"/>
            </w:r>
            <w:r w:rsidRPr="002A057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073C" w14:textId="77777777" w:rsidR="00F9286E" w:rsidRPr="002A057A" w:rsidRDefault="00F9286E" w:rsidP="001E60A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A057A">
              <w:rPr>
                <w:rFonts w:ascii="Calibri" w:hAnsi="Calibri" w:cs="Arial"/>
                <w:bCs/>
                <w:sz w:val="22"/>
                <w:szCs w:val="22"/>
              </w:rPr>
              <w:t>1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7837" w14:textId="77777777" w:rsidR="00AE4A9D" w:rsidRDefault="00AE4A9D" w:rsidP="00AE4A9D">
            <w:r>
              <w:rPr>
                <w:rFonts w:ascii="Calibri" w:hAnsi="Calibri" w:cs="Arial"/>
                <w:sz w:val="22"/>
                <w:szCs w:val="22"/>
              </w:rPr>
              <w:t xml:space="preserve">Complete the Channel online Prevent training &amp; radicalisation awareness course. </w:t>
            </w:r>
            <w:hyperlink r:id="rId7" w:history="1">
              <w:r>
                <w:rPr>
                  <w:rStyle w:val="Hyperlink"/>
                </w:rPr>
                <w:t>https://www.elearning.prevent.homeoffice.gov.uk/channel_awareness/01-welcome.html</w:t>
              </w:r>
            </w:hyperlink>
          </w:p>
          <w:p w14:paraId="4FFBB3A4" w14:textId="77777777" w:rsidR="00F9286E" w:rsidRPr="00E751E7" w:rsidRDefault="00F9286E" w:rsidP="0005573A">
            <w:pPr>
              <w:rPr>
                <w:rFonts w:ascii="Calibri" w:hAnsi="Calibri" w:cs="Arial"/>
                <w:sz w:val="22"/>
                <w:szCs w:val="22"/>
                <w:highlight w:val="yellow"/>
              </w:rPr>
            </w:pPr>
          </w:p>
        </w:tc>
      </w:tr>
      <w:tr w:rsidR="00F9286E" w:rsidRPr="002A057A" w14:paraId="2F83DB60" w14:textId="77777777" w:rsidTr="0079459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B2E" w14:textId="77777777" w:rsidR="00F9286E" w:rsidRPr="002A057A" w:rsidRDefault="00F9286E" w:rsidP="001E60A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A057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2A057A">
              <w:rPr>
                <w:rFonts w:ascii="Calibri" w:hAnsi="Calibri" w:cs="Arial"/>
                <w:bCs/>
                <w:sz w:val="22"/>
                <w:szCs w:val="22"/>
              </w:rPr>
              <w:sym w:font="Wingdings" w:char="F0FC"/>
            </w:r>
            <w:r w:rsidRPr="002A057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B50A" w14:textId="77777777" w:rsidR="00F9286E" w:rsidRPr="002A057A" w:rsidRDefault="00F9286E" w:rsidP="001E60A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A057A">
              <w:rPr>
                <w:rFonts w:ascii="Calibri" w:hAnsi="Calibri" w:cs="Arial"/>
                <w:bCs/>
                <w:sz w:val="22"/>
                <w:szCs w:val="22"/>
              </w:rPr>
              <w:t>2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EF7" w14:textId="77777777" w:rsidR="00794594" w:rsidRDefault="00794594" w:rsidP="0079459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Read the Safeguarding document ‘Keeping Children Safe in Education’ (DfE, 2021) available from the Department for Education website </w:t>
            </w:r>
            <w:hyperlink r:id="rId8" w:history="1">
              <w:r>
                <w:rPr>
                  <w:rStyle w:val="Hyperlink"/>
                </w:rPr>
                <w:t>Keeping children safe in education 2021 (publishing.service.gov.uk)</w:t>
              </w:r>
            </w:hyperlink>
          </w:p>
          <w:p w14:paraId="7D9746CB" w14:textId="77777777" w:rsidR="00F9286E" w:rsidRPr="00E751E7" w:rsidRDefault="00F9286E" w:rsidP="0005573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9286E" w:rsidRPr="002A057A" w14:paraId="4E0AA8B6" w14:textId="77777777" w:rsidTr="00794594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AEA4" w14:textId="77777777" w:rsidR="00F9286E" w:rsidRPr="002A057A" w:rsidRDefault="00F9286E" w:rsidP="001E60A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A057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2A057A">
              <w:rPr>
                <w:rFonts w:ascii="Calibri" w:hAnsi="Calibri" w:cs="Arial"/>
                <w:bCs/>
                <w:sz w:val="22"/>
                <w:szCs w:val="22"/>
              </w:rPr>
              <w:sym w:font="Wingdings" w:char="F0FC"/>
            </w:r>
            <w:r w:rsidRPr="002A057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F56" w14:textId="77777777" w:rsidR="00F9286E" w:rsidRPr="002A057A" w:rsidRDefault="00F9286E" w:rsidP="001E60A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A057A">
              <w:rPr>
                <w:rFonts w:ascii="Calibri" w:hAnsi="Calibri" w:cs="Arial"/>
                <w:bCs/>
                <w:sz w:val="22"/>
                <w:szCs w:val="22"/>
              </w:rPr>
              <w:t>3</w:t>
            </w:r>
          </w:p>
        </w:tc>
        <w:tc>
          <w:tcPr>
            <w:tcW w:w="9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1D21" w14:textId="77777777" w:rsidR="006C10BE" w:rsidRDefault="00BE1705" w:rsidP="006C10BE">
            <w:pPr>
              <w:pStyle w:val="paragraph"/>
              <w:spacing w:before="0" w:beforeAutospacing="0" w:after="0" w:afterAutospacing="0"/>
              <w:textAlignment w:val="baseline"/>
              <w:rPr>
                <w:rFonts w:ascii="&amp;quot" w:hAnsi="&amp;quot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Familiarise yourself with the Inclusion Development Programme online which is a resource to help improve outcomes for pupils with Special Educational Needs.</w:t>
            </w:r>
            <w:r>
              <w:rPr>
                <w:rStyle w:val="eop"/>
                <w:rFonts w:ascii="&amp;quot" w:hAnsi="&amp;quot"/>
                <w:sz w:val="22"/>
                <w:szCs w:val="22"/>
              </w:rPr>
              <w:t> </w:t>
            </w:r>
            <w:hyperlink r:id="rId9" w:history="1">
              <w:r>
                <w:rPr>
                  <w:rStyle w:val="Hyperlink"/>
                  <w:rFonts w:ascii="&amp;quot" w:hAnsi="&amp;quot"/>
                  <w:sz w:val="18"/>
                  <w:szCs w:val="18"/>
                </w:rPr>
                <w:t>https://www.sendgateway.org.uk/</w:t>
              </w:r>
            </w:hyperlink>
          </w:p>
          <w:p w14:paraId="7C185F3D" w14:textId="77777777" w:rsidR="00F9286E" w:rsidRPr="00E36962" w:rsidRDefault="00F9286E" w:rsidP="0005573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06B3" w:rsidRPr="00441140" w14:paraId="7205B616" w14:textId="77777777" w:rsidTr="00794594">
        <w:tc>
          <w:tcPr>
            <w:tcW w:w="519" w:type="dxa"/>
          </w:tcPr>
          <w:p w14:paraId="09F72A35" w14:textId="77777777" w:rsidR="000406B3" w:rsidRPr="00441140" w:rsidRDefault="000406B3" w:rsidP="00DA180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15" w:type="dxa"/>
          </w:tcPr>
          <w:p w14:paraId="6A1AEFCB" w14:textId="77777777" w:rsidR="000406B3" w:rsidRPr="00441140" w:rsidRDefault="00552599" w:rsidP="000406B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</w:t>
            </w:r>
          </w:p>
        </w:tc>
        <w:tc>
          <w:tcPr>
            <w:tcW w:w="9984" w:type="dxa"/>
          </w:tcPr>
          <w:p w14:paraId="266E35F5" w14:textId="77777777" w:rsidR="00B83CA2" w:rsidRDefault="000406B3" w:rsidP="00A86D44">
            <w:pPr>
              <w:rPr>
                <w:rFonts w:ascii="Calibri" w:hAnsi="Calibri" w:cs="Arial"/>
                <w:sz w:val="22"/>
                <w:szCs w:val="22"/>
              </w:rPr>
            </w:pPr>
            <w:r w:rsidRPr="00441140">
              <w:rPr>
                <w:rFonts w:ascii="Calibri" w:hAnsi="Calibri" w:cs="Arial"/>
                <w:sz w:val="22"/>
                <w:szCs w:val="22"/>
              </w:rPr>
              <w:t xml:space="preserve">To become familiar with the current National Curriculum for </w:t>
            </w:r>
            <w:r w:rsidR="00887A6C">
              <w:rPr>
                <w:rFonts w:ascii="Calibri" w:hAnsi="Calibri" w:cs="Arial"/>
                <w:sz w:val="22"/>
                <w:szCs w:val="22"/>
              </w:rPr>
              <w:t>Englis</w:t>
            </w:r>
            <w:r w:rsidR="00B83CA2">
              <w:rPr>
                <w:rFonts w:ascii="Calibri" w:hAnsi="Calibri" w:cs="Arial"/>
                <w:sz w:val="22"/>
                <w:szCs w:val="22"/>
              </w:rPr>
              <w:t>h.</w:t>
            </w:r>
          </w:p>
          <w:p w14:paraId="6D18D177" w14:textId="77777777" w:rsidR="00B83CA2" w:rsidRDefault="00B83CA2" w:rsidP="00A86D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14:paraId="6C28BDC9" w14:textId="77777777" w:rsidR="000406B3" w:rsidRPr="00441140" w:rsidRDefault="00B83CA2" w:rsidP="00A86D44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Key Stage 3 Programme of Study, CGSE and A level </w:t>
            </w:r>
            <w:r w:rsidR="008C1E0E">
              <w:rPr>
                <w:rFonts w:ascii="Calibri" w:hAnsi="Calibri" w:cs="Arial"/>
                <w:sz w:val="22"/>
                <w:szCs w:val="22"/>
              </w:rPr>
              <w:t>e</w:t>
            </w:r>
            <w:r w:rsidR="00887A6C">
              <w:rPr>
                <w:rFonts w:ascii="Calibri" w:hAnsi="Calibri" w:cs="Arial"/>
                <w:sz w:val="22"/>
                <w:szCs w:val="22"/>
              </w:rPr>
              <w:t>xamination specifications</w:t>
            </w:r>
            <w:r>
              <w:rPr>
                <w:rFonts w:ascii="Calibri" w:hAnsi="Calibri" w:cs="Arial"/>
                <w:sz w:val="22"/>
                <w:szCs w:val="22"/>
              </w:rPr>
              <w:t xml:space="preserve"> in both Language and Literature.</w:t>
            </w:r>
          </w:p>
        </w:tc>
      </w:tr>
      <w:tr w:rsidR="000406B3" w:rsidRPr="00441140" w14:paraId="45C1FA46" w14:textId="77777777" w:rsidTr="00794594">
        <w:tc>
          <w:tcPr>
            <w:tcW w:w="519" w:type="dxa"/>
          </w:tcPr>
          <w:p w14:paraId="602763C0" w14:textId="77777777" w:rsidR="000406B3" w:rsidRPr="00441140" w:rsidRDefault="000406B3" w:rsidP="00DA180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15" w:type="dxa"/>
          </w:tcPr>
          <w:p w14:paraId="622A9D08" w14:textId="77777777" w:rsidR="000406B3" w:rsidRPr="00441140" w:rsidRDefault="00261AFD" w:rsidP="000406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5</w:t>
            </w:r>
          </w:p>
          <w:p w14:paraId="17D72568" w14:textId="77777777" w:rsidR="000406B3" w:rsidRPr="00441140" w:rsidRDefault="00F9286E" w:rsidP="00B83CA2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noProof/>
                <w:sz w:val="22"/>
                <w:szCs w:val="22"/>
                <w:lang w:eastAsia="en-GB"/>
              </w:rPr>
              <w:pict w14:anchorId="2CA44AF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.5pt;margin-top:26.4pt;width:11.25pt;height:12pt;z-index:1;mso-width-relative:margin;mso-height-relative:margin">
                  <v:textbox style="mso-next-textbox:#_x0000_s1026">
                    <w:txbxContent>
                      <w:p w14:paraId="362C2B52" w14:textId="77777777" w:rsidR="00F9286E" w:rsidRDefault="00F9286E" w:rsidP="00F9286E">
                        <w:r w:rsidRPr="00236031">
                          <w:pict w14:anchorId="29AEE483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.75pt;height:.75pt">
                              <v:imagedata r:id="rId10" o:title=""/>
                            </v:shape>
                          </w:pict>
                        </w:r>
                        <w:r w:rsidRPr="00236031">
                          <w:pict w14:anchorId="3581423E">
                            <v:shape id="_x0000_i1026" type="#_x0000_t75" style="width:.75pt;height:.75pt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eastAsia="en-GB"/>
              </w:rPr>
              <w:pict w14:anchorId="35DD62D7">
                <v:shape id="_x0000_s1027" type="#_x0000_t202" style="position:absolute;left:0;text-align:left;margin-left:6.5pt;margin-top:14.4pt;width:11.25pt;height:12pt;z-index:2;mso-width-relative:margin;mso-height-relative:margin">
                  <v:textbox style="mso-next-textbox:#_x0000_s1027">
                    <w:txbxContent>
                      <w:p w14:paraId="687525B1" w14:textId="77777777" w:rsidR="00F9286E" w:rsidRDefault="00F9286E" w:rsidP="00F9286E">
                        <w:r w:rsidRPr="00236031">
                          <w:pict w14:anchorId="3AD71765">
                            <v:shape id="_x0000_i1027" type="#_x0000_t75" style="width:.75pt;height:.75pt">
                              <v:imagedata r:id="rId10" o:title=""/>
                            </v:shape>
                          </w:pict>
                        </w:r>
                        <w:r w:rsidRPr="00236031">
                          <w:pict w14:anchorId="68A9537B">
                            <v:shape id="_x0000_i1028" type="#_x0000_t75" style="width:.75pt;height:.75pt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rFonts w:ascii="Calibri" w:hAnsi="Calibri" w:cs="Arial"/>
                <w:bCs/>
                <w:noProof/>
                <w:sz w:val="22"/>
                <w:szCs w:val="22"/>
                <w:lang w:eastAsia="en-GB"/>
              </w:rPr>
              <w:pict w14:anchorId="09259BEA">
                <v:shape id="_x0000_s1028" type="#_x0000_t202" style="position:absolute;left:0;text-align:left;margin-left:6.5pt;margin-top:2.4pt;width:11.25pt;height:12pt;z-index:3;mso-width-relative:margin;mso-height-relative:margin">
                  <v:textbox style="mso-next-textbox:#_x0000_s1028">
                    <w:txbxContent>
                      <w:p w14:paraId="6F777AE1" w14:textId="77777777" w:rsidR="00F9286E" w:rsidRDefault="00F9286E" w:rsidP="00F9286E">
                        <w:r w:rsidRPr="00236031">
                          <w:pict w14:anchorId="42F49510">
                            <v:shape id="_x0000_i1029" type="#_x0000_t75" style="width:.75pt;height:.75pt">
                              <v:imagedata r:id="rId10" o:title=""/>
                            </v:shape>
                          </w:pict>
                        </w:r>
                        <w:r w:rsidRPr="00236031">
                          <w:pict w14:anchorId="3C07588F">
                            <v:shape id="_x0000_i1030" type="#_x0000_t75" style="width:.75pt;height:.75pt">
                              <v:imagedata r:id="rId10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84" w:type="dxa"/>
          </w:tcPr>
          <w:p w14:paraId="33C2D708" w14:textId="77777777" w:rsidR="000406B3" w:rsidRPr="00441140" w:rsidRDefault="000406B3" w:rsidP="00DA180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 xml:space="preserve">Consider how </w:t>
            </w:r>
            <w:r w:rsidR="00887A6C">
              <w:rPr>
                <w:rFonts w:ascii="Calibri" w:hAnsi="Calibri" w:cs="Arial"/>
                <w:bCs/>
                <w:sz w:val="22"/>
                <w:szCs w:val="22"/>
              </w:rPr>
              <w:t>English</w:t>
            </w:r>
            <w:r w:rsidRPr="00441140">
              <w:rPr>
                <w:rFonts w:ascii="Calibri" w:hAnsi="Calibri" w:cs="Arial"/>
                <w:bCs/>
                <w:sz w:val="22"/>
                <w:szCs w:val="22"/>
              </w:rPr>
              <w:t xml:space="preserve"> departments support </w:t>
            </w:r>
            <w:r w:rsidR="008C1E0E">
              <w:rPr>
                <w:rFonts w:ascii="Calibri" w:hAnsi="Calibri" w:cs="Arial"/>
                <w:bCs/>
                <w:sz w:val="22"/>
                <w:szCs w:val="22"/>
              </w:rPr>
              <w:t xml:space="preserve">and challenge </w:t>
            </w:r>
            <w:r w:rsidR="008C1E0E" w:rsidRPr="00441140">
              <w:rPr>
                <w:rFonts w:ascii="Calibri" w:hAnsi="Calibri" w:cs="Arial"/>
                <w:bCs/>
                <w:sz w:val="22"/>
                <w:szCs w:val="22"/>
              </w:rPr>
              <w:t>diverse groups</w:t>
            </w:r>
            <w:r w:rsidRPr="00441140">
              <w:rPr>
                <w:rFonts w:ascii="Calibri" w:hAnsi="Calibri" w:cs="Arial"/>
                <w:bCs/>
                <w:sz w:val="22"/>
                <w:szCs w:val="22"/>
              </w:rPr>
              <w:t xml:space="preserve"> of learners:</w:t>
            </w:r>
          </w:p>
          <w:p w14:paraId="54C015FC" w14:textId="77777777" w:rsidR="000406B3" w:rsidRPr="00441140" w:rsidRDefault="000406B3" w:rsidP="00F7339F">
            <w:pPr>
              <w:numPr>
                <w:ilvl w:val="0"/>
                <w:numId w:val="1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>EAL</w:t>
            </w:r>
          </w:p>
          <w:p w14:paraId="68185AB5" w14:textId="77777777" w:rsidR="000406B3" w:rsidRPr="00441140" w:rsidRDefault="000406B3" w:rsidP="00F7339F">
            <w:pPr>
              <w:numPr>
                <w:ilvl w:val="0"/>
                <w:numId w:val="1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>SEN</w:t>
            </w:r>
            <w:r w:rsidR="008C1E0E">
              <w:rPr>
                <w:rFonts w:ascii="Calibri" w:hAnsi="Calibri" w:cs="Arial"/>
                <w:bCs/>
                <w:sz w:val="22"/>
                <w:szCs w:val="22"/>
              </w:rPr>
              <w:t>D</w:t>
            </w:r>
          </w:p>
          <w:p w14:paraId="095CBCC1" w14:textId="77777777" w:rsidR="000406B3" w:rsidRPr="00441140" w:rsidRDefault="00B83CA2" w:rsidP="00B83CA2">
            <w:pPr>
              <w:numPr>
                <w:ilvl w:val="0"/>
                <w:numId w:val="1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Higher Attaining Pupils </w:t>
            </w:r>
          </w:p>
        </w:tc>
      </w:tr>
      <w:tr w:rsidR="000406B3" w:rsidRPr="00441140" w14:paraId="40D32D89" w14:textId="77777777" w:rsidTr="00794594">
        <w:tc>
          <w:tcPr>
            <w:tcW w:w="519" w:type="dxa"/>
          </w:tcPr>
          <w:p w14:paraId="3DAB382E" w14:textId="77777777" w:rsidR="000406B3" w:rsidRPr="00441140" w:rsidRDefault="000406B3" w:rsidP="00DA180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15" w:type="dxa"/>
          </w:tcPr>
          <w:p w14:paraId="6C971400" w14:textId="77777777" w:rsidR="000406B3" w:rsidRPr="00441140" w:rsidRDefault="00261AFD" w:rsidP="000406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</w:t>
            </w:r>
          </w:p>
        </w:tc>
        <w:tc>
          <w:tcPr>
            <w:tcW w:w="9984" w:type="dxa"/>
          </w:tcPr>
          <w:p w14:paraId="7AE7354A" w14:textId="77777777" w:rsidR="003F42FD" w:rsidRDefault="000406B3" w:rsidP="00887A6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41140">
              <w:rPr>
                <w:rFonts w:ascii="Calibri" w:hAnsi="Calibri" w:cs="Arial"/>
                <w:bCs/>
                <w:sz w:val="22"/>
                <w:szCs w:val="22"/>
              </w:rPr>
              <w:t xml:space="preserve">Develop an awareness of </w:t>
            </w:r>
            <w:r w:rsidR="00887A6C">
              <w:rPr>
                <w:rFonts w:ascii="Calibri" w:hAnsi="Calibri" w:cs="Arial"/>
                <w:bCs/>
                <w:sz w:val="22"/>
                <w:szCs w:val="22"/>
              </w:rPr>
              <w:t xml:space="preserve">set </w:t>
            </w:r>
            <w:r w:rsidR="00B83CA2">
              <w:rPr>
                <w:rFonts w:ascii="Calibri" w:hAnsi="Calibri" w:cs="Arial"/>
                <w:bCs/>
                <w:sz w:val="22"/>
                <w:szCs w:val="22"/>
              </w:rPr>
              <w:t xml:space="preserve">literature </w:t>
            </w:r>
            <w:r w:rsidR="00887A6C">
              <w:rPr>
                <w:rFonts w:ascii="Calibri" w:hAnsi="Calibri" w:cs="Arial"/>
                <w:bCs/>
                <w:sz w:val="22"/>
                <w:szCs w:val="22"/>
              </w:rPr>
              <w:t xml:space="preserve">texts </w:t>
            </w:r>
            <w:r w:rsidR="003F42FD">
              <w:rPr>
                <w:rFonts w:ascii="Calibri" w:hAnsi="Calibri" w:cs="Arial"/>
                <w:bCs/>
                <w:sz w:val="22"/>
                <w:szCs w:val="22"/>
              </w:rPr>
              <w:t>at</w:t>
            </w:r>
            <w:r w:rsidR="00887A6C">
              <w:rPr>
                <w:rFonts w:ascii="Calibri" w:hAnsi="Calibri" w:cs="Arial"/>
                <w:bCs/>
                <w:sz w:val="22"/>
                <w:szCs w:val="22"/>
              </w:rPr>
              <w:t xml:space="preserve"> GCSE and A level – read two from each you have not read</w:t>
            </w:r>
            <w:r w:rsidR="008C1E0E">
              <w:rPr>
                <w:rFonts w:ascii="Calibri" w:hAnsi="Calibri" w:cs="Arial"/>
                <w:bCs/>
                <w:sz w:val="22"/>
                <w:szCs w:val="22"/>
              </w:rPr>
              <w:t xml:space="preserve">. </w:t>
            </w:r>
          </w:p>
          <w:p w14:paraId="12F44A4D" w14:textId="77777777" w:rsidR="000406B3" w:rsidRPr="00441140" w:rsidRDefault="008C1E0E" w:rsidP="00887A6C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You can find these on exam board websites.</w:t>
            </w:r>
          </w:p>
        </w:tc>
      </w:tr>
      <w:tr w:rsidR="000406B3" w:rsidRPr="00441140" w14:paraId="2BE37518" w14:textId="77777777" w:rsidTr="00794594">
        <w:tc>
          <w:tcPr>
            <w:tcW w:w="519" w:type="dxa"/>
          </w:tcPr>
          <w:p w14:paraId="0086B824" w14:textId="77777777" w:rsidR="000406B3" w:rsidRPr="00441140" w:rsidRDefault="000406B3" w:rsidP="00DA180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15" w:type="dxa"/>
          </w:tcPr>
          <w:p w14:paraId="4B52E89C" w14:textId="77777777" w:rsidR="000406B3" w:rsidRPr="00441140" w:rsidRDefault="00261AFD" w:rsidP="000406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7</w:t>
            </w:r>
          </w:p>
        </w:tc>
        <w:tc>
          <w:tcPr>
            <w:tcW w:w="9984" w:type="dxa"/>
          </w:tcPr>
          <w:p w14:paraId="46B296F8" w14:textId="77777777" w:rsidR="000406B3" w:rsidRDefault="00B83CA2" w:rsidP="00A86D4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Read up on how Drama skills are used </w:t>
            </w:r>
            <w:r w:rsidR="00261AFD">
              <w:rPr>
                <w:rFonts w:ascii="Calibri" w:hAnsi="Calibri" w:cs="Arial"/>
                <w:bCs/>
                <w:sz w:val="22"/>
                <w:szCs w:val="22"/>
              </w:rPr>
              <w:t xml:space="preserve">to enhance learning in the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English classroom.</w:t>
            </w:r>
          </w:p>
          <w:p w14:paraId="4C56756B" w14:textId="77777777" w:rsidR="00261AFD" w:rsidRPr="00441140" w:rsidRDefault="00261AFD" w:rsidP="00A86D4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AC5CA2" w:rsidRPr="00441140" w14:paraId="1667C8DB" w14:textId="77777777" w:rsidTr="00794594">
        <w:tc>
          <w:tcPr>
            <w:tcW w:w="519" w:type="dxa"/>
          </w:tcPr>
          <w:p w14:paraId="500FF0C9" w14:textId="77777777" w:rsidR="00AC5CA2" w:rsidRDefault="00AC5CA2" w:rsidP="00DA180D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A057A">
              <w:rPr>
                <w:rFonts w:ascii="Calibri" w:hAnsi="Calibri" w:cs="Arial"/>
                <w:bCs/>
                <w:sz w:val="22"/>
                <w:szCs w:val="22"/>
              </w:rPr>
              <w:sym w:font="Wingdings" w:char="F0FC"/>
            </w:r>
          </w:p>
          <w:p w14:paraId="0E952B69" w14:textId="77777777" w:rsidR="00AC5CA2" w:rsidRPr="00441140" w:rsidRDefault="00AC5CA2" w:rsidP="00DA180D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615" w:type="dxa"/>
          </w:tcPr>
          <w:p w14:paraId="0BAF0D33" w14:textId="77777777" w:rsidR="00AC5CA2" w:rsidRDefault="00AC5CA2" w:rsidP="000406B3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8</w:t>
            </w:r>
          </w:p>
        </w:tc>
        <w:tc>
          <w:tcPr>
            <w:tcW w:w="9984" w:type="dxa"/>
          </w:tcPr>
          <w:p w14:paraId="559A1DE4" w14:textId="77777777" w:rsidR="00AC5CA2" w:rsidRDefault="00AC5CA2" w:rsidP="00AC5CA2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Essential reading: </w:t>
            </w:r>
            <w:hyperlink r:id="rId11" w:history="1">
              <w:r w:rsidRPr="00FF2B72">
                <w:rPr>
                  <w:rStyle w:val="Hyperlink"/>
                  <w:rFonts w:ascii="Calibri" w:hAnsi="Calibri" w:cs="Arial"/>
                  <w:bCs/>
                </w:rPr>
                <w:t>https://teacherhead.com/2017/06/03/teaching-and-learning-research-summaries-a-collection-for-easy-access/</w:t>
              </w:r>
            </w:hyperlink>
          </w:p>
          <w:p w14:paraId="14798ECB" w14:textId="77777777" w:rsidR="00AC5CA2" w:rsidRDefault="00AC5CA2" w:rsidP="00A86D44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26913B7F" w14:textId="77777777" w:rsidR="00647E34" w:rsidRDefault="00647E34" w:rsidP="00412B16">
      <w:pPr>
        <w:rPr>
          <w:rFonts w:ascii="Arial" w:hAnsi="Arial" w:cs="Arial"/>
          <w:b/>
          <w:bCs/>
          <w:sz w:val="22"/>
        </w:rPr>
      </w:pPr>
    </w:p>
    <w:sectPr w:rsidR="00647E34" w:rsidSect="00033BE9">
      <w:headerReference w:type="default" r:id="rId12"/>
      <w:footerReference w:type="default" r:id="rId13"/>
      <w:pgSz w:w="12240" w:h="15840"/>
      <w:pgMar w:top="1525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A2338" w14:textId="77777777" w:rsidR="00296DDC" w:rsidRDefault="00296DDC" w:rsidP="00033BE9">
      <w:r>
        <w:separator/>
      </w:r>
    </w:p>
  </w:endnote>
  <w:endnote w:type="continuationSeparator" w:id="0">
    <w:p w14:paraId="49DF0A3C" w14:textId="77777777" w:rsidR="00296DDC" w:rsidRDefault="00296DDC" w:rsidP="0003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968D4" w14:textId="77777777" w:rsidR="00033BE9" w:rsidRDefault="00033BE9" w:rsidP="00033BE9">
    <w:pPr>
      <w:pStyle w:val="Footer"/>
      <w:tabs>
        <w:tab w:val="clear" w:pos="4513"/>
        <w:tab w:val="clear" w:pos="9026"/>
        <w:tab w:val="left" w:pos="190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A3ABD" w14:textId="77777777" w:rsidR="00296DDC" w:rsidRDefault="00296DDC" w:rsidP="00033BE9">
      <w:r>
        <w:separator/>
      </w:r>
    </w:p>
  </w:footnote>
  <w:footnote w:type="continuationSeparator" w:id="0">
    <w:p w14:paraId="464DBF4D" w14:textId="77777777" w:rsidR="00296DDC" w:rsidRDefault="00296DDC" w:rsidP="00033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4862" w14:textId="77777777" w:rsidR="00033BE9" w:rsidRDefault="005E5E4B">
    <w:pPr>
      <w:pStyle w:val="Header"/>
    </w:pPr>
    <w:r w:rsidRPr="000C1F7C">
      <w:rPr>
        <w:rFonts w:ascii="Calibri" w:hAnsi="Calibri"/>
        <w:b/>
        <w:noProof/>
        <w:color w:val="FFFFFF"/>
        <w:sz w:val="28"/>
        <w:szCs w:val="28"/>
        <w:lang w:eastAsia="en-GB"/>
      </w:rPr>
      <w:pict w14:anchorId="00DD46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31" type="#_x0000_t75" alt="Description: L:\ITT\Logos\Plymouth_Marjon_University_TEP_Logo_RED_&amp;_BLUE.png" style="width:124.5pt;height:58.5pt;visibility:visible">
          <v:imagedata r:id="rId1" o:title="Plymouth_Marjon_University_TEP_Logo_RED_&amp;_BLU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20B44"/>
    <w:multiLevelType w:val="hybridMultilevel"/>
    <w:tmpl w:val="6DB4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122D"/>
    <w:multiLevelType w:val="hybridMultilevel"/>
    <w:tmpl w:val="1220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8233D"/>
    <w:multiLevelType w:val="hybridMultilevel"/>
    <w:tmpl w:val="34F4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2D85"/>
    <w:multiLevelType w:val="hybridMultilevel"/>
    <w:tmpl w:val="DD163C82"/>
    <w:lvl w:ilvl="0" w:tplc="C7A45B0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A47ED"/>
    <w:multiLevelType w:val="hybridMultilevel"/>
    <w:tmpl w:val="227A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D445DC"/>
    <w:multiLevelType w:val="hybridMultilevel"/>
    <w:tmpl w:val="876C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5025A"/>
    <w:multiLevelType w:val="hybridMultilevel"/>
    <w:tmpl w:val="C71E5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75E7F"/>
    <w:multiLevelType w:val="hybridMultilevel"/>
    <w:tmpl w:val="8D32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D5C6B"/>
    <w:multiLevelType w:val="hybridMultilevel"/>
    <w:tmpl w:val="93C6B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F387F"/>
    <w:multiLevelType w:val="hybridMultilevel"/>
    <w:tmpl w:val="5488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F52A2"/>
    <w:multiLevelType w:val="hybridMultilevel"/>
    <w:tmpl w:val="93827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C17C95"/>
    <w:multiLevelType w:val="hybridMultilevel"/>
    <w:tmpl w:val="4A28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B5BEF"/>
    <w:multiLevelType w:val="hybridMultilevel"/>
    <w:tmpl w:val="42C86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56668"/>
    <w:multiLevelType w:val="hybridMultilevel"/>
    <w:tmpl w:val="F482D4E4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598F1168"/>
    <w:multiLevelType w:val="hybridMultilevel"/>
    <w:tmpl w:val="D56A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956C3"/>
    <w:multiLevelType w:val="hybridMultilevel"/>
    <w:tmpl w:val="74685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AE0C49"/>
    <w:multiLevelType w:val="hybridMultilevel"/>
    <w:tmpl w:val="9DAC37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A311ED"/>
    <w:multiLevelType w:val="hybridMultilevel"/>
    <w:tmpl w:val="31E0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04FB2"/>
    <w:multiLevelType w:val="hybridMultilevel"/>
    <w:tmpl w:val="4ED6EE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0"/>
  </w:num>
  <w:num w:numId="4">
    <w:abstractNumId w:val="2"/>
  </w:num>
  <w:num w:numId="5">
    <w:abstractNumId w:val="8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18"/>
  </w:num>
  <w:num w:numId="15">
    <w:abstractNumId w:val="15"/>
  </w:num>
  <w:num w:numId="16">
    <w:abstractNumId w:val="1"/>
  </w:num>
  <w:num w:numId="17">
    <w:abstractNumId w:val="3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848"/>
    <w:rsid w:val="0001636A"/>
    <w:rsid w:val="0001779E"/>
    <w:rsid w:val="00022C05"/>
    <w:rsid w:val="00033BE9"/>
    <w:rsid w:val="00037BCE"/>
    <w:rsid w:val="000406B3"/>
    <w:rsid w:val="0005573A"/>
    <w:rsid w:val="00080D66"/>
    <w:rsid w:val="00092938"/>
    <w:rsid w:val="000C5B88"/>
    <w:rsid w:val="000C743B"/>
    <w:rsid w:val="000D4875"/>
    <w:rsid w:val="000F67BF"/>
    <w:rsid w:val="00102C98"/>
    <w:rsid w:val="00114520"/>
    <w:rsid w:val="00116B72"/>
    <w:rsid w:val="00133848"/>
    <w:rsid w:val="00134AC6"/>
    <w:rsid w:val="00185D39"/>
    <w:rsid w:val="0019482E"/>
    <w:rsid w:val="001A4322"/>
    <w:rsid w:val="001B060F"/>
    <w:rsid w:val="001B5701"/>
    <w:rsid w:val="001C73DB"/>
    <w:rsid w:val="001D1D7F"/>
    <w:rsid w:val="001E60A3"/>
    <w:rsid w:val="00210446"/>
    <w:rsid w:val="0022134F"/>
    <w:rsid w:val="0025326C"/>
    <w:rsid w:val="00261AFD"/>
    <w:rsid w:val="002662CF"/>
    <w:rsid w:val="00296DDC"/>
    <w:rsid w:val="002D1521"/>
    <w:rsid w:val="00301AC5"/>
    <w:rsid w:val="00305EFC"/>
    <w:rsid w:val="003352EC"/>
    <w:rsid w:val="00343B5A"/>
    <w:rsid w:val="00350D74"/>
    <w:rsid w:val="00386AB0"/>
    <w:rsid w:val="003A2FB4"/>
    <w:rsid w:val="003D1254"/>
    <w:rsid w:val="003E150D"/>
    <w:rsid w:val="003E2EE6"/>
    <w:rsid w:val="003F42FD"/>
    <w:rsid w:val="00404F61"/>
    <w:rsid w:val="00412B16"/>
    <w:rsid w:val="00436A12"/>
    <w:rsid w:val="00441140"/>
    <w:rsid w:val="00446883"/>
    <w:rsid w:val="00451F54"/>
    <w:rsid w:val="004675E9"/>
    <w:rsid w:val="00490BFC"/>
    <w:rsid w:val="00490D91"/>
    <w:rsid w:val="004C1A42"/>
    <w:rsid w:val="004C45C8"/>
    <w:rsid w:val="004F0E78"/>
    <w:rsid w:val="00537E92"/>
    <w:rsid w:val="0054209E"/>
    <w:rsid w:val="00550E60"/>
    <w:rsid w:val="00552599"/>
    <w:rsid w:val="00561380"/>
    <w:rsid w:val="005656A0"/>
    <w:rsid w:val="005D127F"/>
    <w:rsid w:val="005D14BC"/>
    <w:rsid w:val="005E284B"/>
    <w:rsid w:val="005E30D2"/>
    <w:rsid w:val="005E5B60"/>
    <w:rsid w:val="005E5E4B"/>
    <w:rsid w:val="005E7EC9"/>
    <w:rsid w:val="0060512D"/>
    <w:rsid w:val="00645034"/>
    <w:rsid w:val="00647E34"/>
    <w:rsid w:val="00655E05"/>
    <w:rsid w:val="006A1C41"/>
    <w:rsid w:val="006C10BE"/>
    <w:rsid w:val="00724906"/>
    <w:rsid w:val="00784088"/>
    <w:rsid w:val="00787D32"/>
    <w:rsid w:val="00794594"/>
    <w:rsid w:val="007C209E"/>
    <w:rsid w:val="007E3A85"/>
    <w:rsid w:val="00851EB5"/>
    <w:rsid w:val="00853B44"/>
    <w:rsid w:val="00887A6C"/>
    <w:rsid w:val="008923BB"/>
    <w:rsid w:val="008B6458"/>
    <w:rsid w:val="008C1E0E"/>
    <w:rsid w:val="008D53DA"/>
    <w:rsid w:val="008F67FE"/>
    <w:rsid w:val="0092321F"/>
    <w:rsid w:val="00932492"/>
    <w:rsid w:val="00940897"/>
    <w:rsid w:val="009577CB"/>
    <w:rsid w:val="00962655"/>
    <w:rsid w:val="009A7BA7"/>
    <w:rsid w:val="009B682D"/>
    <w:rsid w:val="009C38CE"/>
    <w:rsid w:val="00A066FB"/>
    <w:rsid w:val="00A149C0"/>
    <w:rsid w:val="00A206B2"/>
    <w:rsid w:val="00A27776"/>
    <w:rsid w:val="00A420A0"/>
    <w:rsid w:val="00A55312"/>
    <w:rsid w:val="00A6655F"/>
    <w:rsid w:val="00A86D44"/>
    <w:rsid w:val="00AC37BE"/>
    <w:rsid w:val="00AC5CA2"/>
    <w:rsid w:val="00AD3F72"/>
    <w:rsid w:val="00AE4A9D"/>
    <w:rsid w:val="00AF3C79"/>
    <w:rsid w:val="00B04EBB"/>
    <w:rsid w:val="00B10A3C"/>
    <w:rsid w:val="00B32DA7"/>
    <w:rsid w:val="00B6483D"/>
    <w:rsid w:val="00B679D0"/>
    <w:rsid w:val="00B71548"/>
    <w:rsid w:val="00B81598"/>
    <w:rsid w:val="00B83834"/>
    <w:rsid w:val="00B83CA2"/>
    <w:rsid w:val="00B84A65"/>
    <w:rsid w:val="00BE1705"/>
    <w:rsid w:val="00C369C3"/>
    <w:rsid w:val="00C41FD9"/>
    <w:rsid w:val="00C433C1"/>
    <w:rsid w:val="00C44816"/>
    <w:rsid w:val="00C46910"/>
    <w:rsid w:val="00CB391B"/>
    <w:rsid w:val="00CC39A2"/>
    <w:rsid w:val="00CC5C90"/>
    <w:rsid w:val="00CE3664"/>
    <w:rsid w:val="00CE4CA2"/>
    <w:rsid w:val="00CE6CC8"/>
    <w:rsid w:val="00D02591"/>
    <w:rsid w:val="00D30F27"/>
    <w:rsid w:val="00D52863"/>
    <w:rsid w:val="00D566D2"/>
    <w:rsid w:val="00D6605B"/>
    <w:rsid w:val="00DA180D"/>
    <w:rsid w:val="00DF1611"/>
    <w:rsid w:val="00DF19AC"/>
    <w:rsid w:val="00E02B9C"/>
    <w:rsid w:val="00E51B9F"/>
    <w:rsid w:val="00E5741A"/>
    <w:rsid w:val="00E64E76"/>
    <w:rsid w:val="00E71AD5"/>
    <w:rsid w:val="00E8053A"/>
    <w:rsid w:val="00E81693"/>
    <w:rsid w:val="00EA7DA8"/>
    <w:rsid w:val="00EC21A9"/>
    <w:rsid w:val="00EC7D7D"/>
    <w:rsid w:val="00EF1A21"/>
    <w:rsid w:val="00F02EAA"/>
    <w:rsid w:val="00F0390A"/>
    <w:rsid w:val="00F04800"/>
    <w:rsid w:val="00F14894"/>
    <w:rsid w:val="00F3028C"/>
    <w:rsid w:val="00F329DA"/>
    <w:rsid w:val="00F43525"/>
    <w:rsid w:val="00F7339F"/>
    <w:rsid w:val="00F8369F"/>
    <w:rsid w:val="00F85C63"/>
    <w:rsid w:val="00F9286E"/>
    <w:rsid w:val="00FC26CA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CA410"/>
  <w15:chartTrackingRefBased/>
  <w15:docId w15:val="{5C742002-EAEA-4CC0-AB87-726D78B9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45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133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90BFC"/>
    <w:rPr>
      <w:rFonts w:ascii="Tahoma" w:hAnsi="Tahoma" w:cs="Tahoma"/>
      <w:sz w:val="16"/>
      <w:szCs w:val="16"/>
    </w:rPr>
  </w:style>
  <w:style w:type="character" w:styleId="Hyperlink">
    <w:name w:val="Hyperlink"/>
    <w:rsid w:val="00E816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127F"/>
    <w:pPr>
      <w:ind w:left="720"/>
    </w:pPr>
  </w:style>
  <w:style w:type="paragraph" w:styleId="Header">
    <w:name w:val="header"/>
    <w:basedOn w:val="Normal"/>
    <w:link w:val="HeaderChar"/>
    <w:uiPriority w:val="99"/>
    <w:rsid w:val="00033BE9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033BE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33BE9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033BE9"/>
    <w:rPr>
      <w:sz w:val="24"/>
      <w:szCs w:val="24"/>
      <w:lang w:eastAsia="en-US"/>
    </w:rPr>
  </w:style>
  <w:style w:type="character" w:styleId="FollowedHyperlink">
    <w:name w:val="FollowedHyperlink"/>
    <w:rsid w:val="00B83CA2"/>
    <w:rPr>
      <w:color w:val="954F72"/>
      <w:u w:val="single"/>
    </w:rPr>
  </w:style>
  <w:style w:type="paragraph" w:customStyle="1" w:styleId="paragraph">
    <w:name w:val="paragraph"/>
    <w:basedOn w:val="Normal"/>
    <w:rsid w:val="006C10BE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rsid w:val="006C10BE"/>
  </w:style>
  <w:style w:type="character" w:customStyle="1" w:styleId="eop">
    <w:name w:val="eop"/>
    <w:rsid w:val="006C10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ets.publishing.service.gov.uk/government/uploads/system/uploads/attachment_data/file/1020050/KCSIE_2021_September_guidance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learning.prevent.homeoffice.gov.uk/channel_awareness/01-welcome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eacherhead.com/2017/06/03/teaching-and-learning-research-summaries-a-collection-for-easy-acces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sendgateway.org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College of St Mark &amp; St John</vt:lpstr>
    </vt:vector>
  </TitlesOfParts>
  <Company>Marjon</Company>
  <LinksUpToDate>false</LinksUpToDate>
  <CharactersWithSpaces>2406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https://teacherhead.com/2017/06/03/teaching-and-learning-research-summaries-a-collection-for-easy-access/</vt:lpwstr>
      </vt:variant>
      <vt:variant>
        <vt:lpwstr/>
      </vt:variant>
      <vt:variant>
        <vt:i4>3473469</vt:i4>
      </vt:variant>
      <vt:variant>
        <vt:i4>6</vt:i4>
      </vt:variant>
      <vt:variant>
        <vt:i4>0</vt:i4>
      </vt:variant>
      <vt:variant>
        <vt:i4>5</vt:i4>
      </vt:variant>
      <vt:variant>
        <vt:lpwstr>https://www.sendgateway.org.uk/</vt:lpwstr>
      </vt:variant>
      <vt:variant>
        <vt:lpwstr/>
      </vt:variant>
      <vt:variant>
        <vt:i4>5373976</vt:i4>
      </vt:variant>
      <vt:variant>
        <vt:i4>3</vt:i4>
      </vt:variant>
      <vt:variant>
        <vt:i4>0</vt:i4>
      </vt:variant>
      <vt:variant>
        <vt:i4>5</vt:i4>
      </vt:variant>
      <vt:variant>
        <vt:lpwstr>https://assets.publishing.service.gov.uk/government/uploads/system/uploads/attachment_data/file/1020050/KCSIE_2021_September_guidance.pdf</vt:lpwstr>
      </vt:variant>
      <vt:variant>
        <vt:lpwstr/>
      </vt:variant>
      <vt:variant>
        <vt:i4>2752524</vt:i4>
      </vt:variant>
      <vt:variant>
        <vt:i4>0</vt:i4>
      </vt:variant>
      <vt:variant>
        <vt:i4>0</vt:i4>
      </vt:variant>
      <vt:variant>
        <vt:i4>5</vt:i4>
      </vt:variant>
      <vt:variant>
        <vt:lpwstr>https://www.elearning.prevent.homeoffice.gov.uk/channel_awareness/01-welcome.html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College of St Mark &amp; St John</dc:title>
  <dc:subject/>
  <dc:creator>COLLEGE ST MARK &amp; ST JOHN</dc:creator>
  <cp:keywords/>
  <cp:lastModifiedBy>Thomas Cowan</cp:lastModifiedBy>
  <cp:revision>2</cp:revision>
  <cp:lastPrinted>2019-08-15T14:52:00Z</cp:lastPrinted>
  <dcterms:created xsi:type="dcterms:W3CDTF">2021-11-17T07:50:00Z</dcterms:created>
  <dcterms:modified xsi:type="dcterms:W3CDTF">2021-11-17T07:50:00Z</dcterms:modified>
</cp:coreProperties>
</file>