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BF38" w14:textId="77777777" w:rsidR="00446883" w:rsidRPr="0062050C" w:rsidRDefault="00A4232F" w:rsidP="00441140">
      <w:pPr>
        <w:jc w:val="center"/>
        <w:rPr>
          <w:rFonts w:ascii="Calibri" w:hAnsi="Calibri" w:cs="Arial"/>
          <w:b/>
          <w:bCs/>
        </w:rPr>
      </w:pPr>
      <w:r w:rsidRPr="00300A60">
        <w:rPr>
          <w:rFonts w:ascii="Calibri" w:hAnsi="Calibri" w:cs="Arial"/>
          <w:b/>
          <w:bCs/>
          <w:highlight w:val="yellow"/>
        </w:rPr>
        <w:t>Religious Education</w:t>
      </w:r>
      <w:r w:rsidR="00446883" w:rsidRPr="0062050C">
        <w:rPr>
          <w:rFonts w:ascii="Calibri" w:hAnsi="Calibri" w:cs="Arial"/>
          <w:b/>
          <w:bCs/>
        </w:rPr>
        <w:t xml:space="preserve"> Initial Teacher Training Secondary Partnership</w:t>
      </w:r>
    </w:p>
    <w:p w14:paraId="68F67ABE" w14:textId="77777777" w:rsidR="00446883" w:rsidRPr="0062050C" w:rsidRDefault="00446883" w:rsidP="00446883">
      <w:pPr>
        <w:jc w:val="center"/>
        <w:rPr>
          <w:rFonts w:ascii="Calibri" w:hAnsi="Calibri" w:cs="Arial"/>
          <w:b/>
          <w:bCs/>
        </w:rPr>
      </w:pPr>
      <w:r w:rsidRPr="0062050C">
        <w:rPr>
          <w:rFonts w:ascii="Calibri" w:hAnsi="Calibri" w:cs="Arial"/>
          <w:b/>
          <w:bCs/>
        </w:rPr>
        <w:t>PRE-COURSE TASKS</w:t>
      </w:r>
    </w:p>
    <w:p w14:paraId="52CFBC17" w14:textId="77777777" w:rsidR="00C8034A" w:rsidRDefault="00C8034A" w:rsidP="00102C98">
      <w:pPr>
        <w:rPr>
          <w:rFonts w:ascii="Calibri" w:hAnsi="Calibri" w:cs="Arial"/>
          <w:b/>
          <w:bCs/>
        </w:rPr>
      </w:pPr>
    </w:p>
    <w:p w14:paraId="066F9BDF" w14:textId="77777777" w:rsidR="00102C98" w:rsidRPr="0062050C" w:rsidRDefault="00102C98" w:rsidP="00102C98">
      <w:pPr>
        <w:rPr>
          <w:rFonts w:ascii="Calibri" w:hAnsi="Calibri" w:cs="Arial"/>
        </w:rPr>
      </w:pPr>
      <w:r w:rsidRPr="0062050C">
        <w:rPr>
          <w:rFonts w:ascii="Calibri" w:hAnsi="Calibri" w:cs="Arial"/>
        </w:rPr>
        <w:t>Name of Trainee:</w:t>
      </w:r>
      <w:r w:rsidR="00AA6736" w:rsidRPr="0062050C">
        <w:rPr>
          <w:rFonts w:ascii="Calibri" w:hAnsi="Calibri" w:cs="Arial"/>
        </w:rPr>
        <w:t xml:space="preserve"> </w:t>
      </w:r>
    </w:p>
    <w:p w14:paraId="02BB6181" w14:textId="77777777" w:rsidR="00853B44" w:rsidRPr="0062050C" w:rsidRDefault="00853B44" w:rsidP="00102C98">
      <w:pPr>
        <w:jc w:val="both"/>
        <w:rPr>
          <w:rFonts w:ascii="Calibri" w:hAnsi="Calibri" w:cs="Arial"/>
        </w:rPr>
      </w:pPr>
    </w:p>
    <w:p w14:paraId="69983AC6" w14:textId="77777777" w:rsidR="00B10A3C" w:rsidRPr="0062050C" w:rsidRDefault="00102C98" w:rsidP="00102C98">
      <w:pPr>
        <w:jc w:val="both"/>
        <w:rPr>
          <w:rFonts w:ascii="Calibri" w:hAnsi="Calibri" w:cs="Arial"/>
        </w:rPr>
      </w:pPr>
      <w:r w:rsidRPr="0062050C">
        <w:rPr>
          <w:rFonts w:ascii="Calibri" w:hAnsi="Calibri" w:cs="Arial"/>
        </w:rPr>
        <w:t xml:space="preserve">Welcome to the </w:t>
      </w:r>
      <w:r w:rsidR="005656A0" w:rsidRPr="0062050C">
        <w:rPr>
          <w:rFonts w:ascii="Calibri" w:hAnsi="Calibri" w:cs="Arial"/>
        </w:rPr>
        <w:t>PGCE</w:t>
      </w:r>
      <w:r w:rsidR="001D1D7F" w:rsidRPr="0062050C">
        <w:rPr>
          <w:rFonts w:ascii="Calibri" w:hAnsi="Calibri" w:cs="Arial"/>
        </w:rPr>
        <w:t xml:space="preserve"> </w:t>
      </w:r>
      <w:r w:rsidR="003352EC" w:rsidRPr="0062050C">
        <w:rPr>
          <w:rFonts w:ascii="Calibri" w:hAnsi="Calibri" w:cs="Arial"/>
        </w:rPr>
        <w:t xml:space="preserve">Secondary </w:t>
      </w:r>
      <w:r w:rsidR="001D1D7F" w:rsidRPr="0062050C">
        <w:rPr>
          <w:rFonts w:ascii="Calibri" w:hAnsi="Calibri" w:cs="Arial"/>
        </w:rPr>
        <w:t xml:space="preserve">Education and </w:t>
      </w:r>
      <w:r w:rsidR="00A4232F" w:rsidRPr="0062050C">
        <w:rPr>
          <w:rFonts w:ascii="Calibri" w:hAnsi="Calibri" w:cs="Arial"/>
        </w:rPr>
        <w:t>Religious Education</w:t>
      </w:r>
      <w:r w:rsidR="003352EC" w:rsidRPr="0062050C">
        <w:rPr>
          <w:rFonts w:ascii="Calibri" w:hAnsi="Calibri" w:cs="Arial"/>
        </w:rPr>
        <w:t xml:space="preserve"> </w:t>
      </w:r>
      <w:r w:rsidR="001D1D7F" w:rsidRPr="0062050C">
        <w:rPr>
          <w:rFonts w:ascii="Calibri" w:hAnsi="Calibri" w:cs="Arial"/>
        </w:rPr>
        <w:t>programme</w:t>
      </w:r>
      <w:r w:rsidRPr="0062050C">
        <w:rPr>
          <w:rFonts w:ascii="Calibri" w:hAnsi="Calibri" w:cs="Arial"/>
        </w:rPr>
        <w:t>.</w:t>
      </w:r>
      <w:r w:rsidR="005C4552" w:rsidRPr="0062050C">
        <w:rPr>
          <w:rFonts w:ascii="Calibri" w:hAnsi="Calibri" w:cs="Arial"/>
        </w:rPr>
        <w:t xml:space="preserve"> T</w:t>
      </w:r>
      <w:r w:rsidRPr="0062050C">
        <w:rPr>
          <w:rFonts w:ascii="Calibri" w:hAnsi="Calibri" w:cs="Arial"/>
        </w:rPr>
        <w:t xml:space="preserve">o help you prepare for the demands of the </w:t>
      </w:r>
      <w:r w:rsidR="003352EC" w:rsidRPr="0062050C">
        <w:rPr>
          <w:rFonts w:ascii="Calibri" w:hAnsi="Calibri" w:cs="Arial"/>
        </w:rPr>
        <w:t>course</w:t>
      </w:r>
      <w:r w:rsidRPr="0062050C">
        <w:rPr>
          <w:rFonts w:ascii="Calibri" w:hAnsi="Calibri" w:cs="Arial"/>
        </w:rPr>
        <w:t xml:space="preserve">, </w:t>
      </w:r>
      <w:r w:rsidR="005C4552" w:rsidRPr="0062050C">
        <w:rPr>
          <w:rFonts w:ascii="Calibri" w:hAnsi="Calibri" w:cs="Arial"/>
        </w:rPr>
        <w:t xml:space="preserve">a variety of </w:t>
      </w:r>
      <w:r w:rsidRPr="0062050C">
        <w:rPr>
          <w:rFonts w:ascii="Calibri" w:hAnsi="Calibri" w:cs="Arial"/>
        </w:rPr>
        <w:t xml:space="preserve">pre-course tasks are specified below.  </w:t>
      </w:r>
    </w:p>
    <w:p w14:paraId="10139E85" w14:textId="77777777" w:rsidR="00102C98" w:rsidRPr="0062050C" w:rsidRDefault="00102C98" w:rsidP="00102C98">
      <w:pPr>
        <w:jc w:val="both"/>
        <w:rPr>
          <w:rFonts w:ascii="Calibri" w:hAnsi="Calibri" w:cs="Arial"/>
        </w:rPr>
      </w:pPr>
      <w:r w:rsidRPr="0062050C">
        <w:rPr>
          <w:rFonts w:ascii="Calibri" w:hAnsi="Calibri" w:cs="Arial"/>
        </w:rPr>
        <w:t xml:space="preserve">It is expected that you will work on these tasks before starting the </w:t>
      </w:r>
      <w:r w:rsidR="003352EC" w:rsidRPr="0062050C">
        <w:rPr>
          <w:rFonts w:ascii="Calibri" w:hAnsi="Calibri" w:cs="Arial"/>
        </w:rPr>
        <w:t>course</w:t>
      </w:r>
      <w:r w:rsidRPr="0062050C">
        <w:rPr>
          <w:rFonts w:ascii="Calibri" w:hAnsi="Calibri" w:cs="Arial"/>
        </w:rPr>
        <w:t>, and</w:t>
      </w:r>
      <w:r w:rsidR="005C4552" w:rsidRPr="0062050C">
        <w:rPr>
          <w:rFonts w:ascii="Calibri" w:hAnsi="Calibri" w:cs="Arial"/>
        </w:rPr>
        <w:t xml:space="preserve"> to be able to demonstrate </w:t>
      </w:r>
      <w:r w:rsidR="00B10A3C" w:rsidRPr="0062050C">
        <w:rPr>
          <w:rFonts w:ascii="Calibri" w:hAnsi="Calibri" w:cs="Arial"/>
        </w:rPr>
        <w:t>experience/</w:t>
      </w:r>
      <w:r w:rsidRPr="0062050C">
        <w:rPr>
          <w:rFonts w:ascii="Calibri" w:hAnsi="Calibri" w:cs="Arial"/>
        </w:rPr>
        <w:t xml:space="preserve">evidence that could be used to inform your Individual Learning Profile.  </w:t>
      </w:r>
      <w:r w:rsidR="00B10A3C" w:rsidRPr="0062050C">
        <w:rPr>
          <w:rFonts w:ascii="Calibri" w:hAnsi="Calibri" w:cs="Arial"/>
        </w:rPr>
        <w:t xml:space="preserve">You will need to bring evidence of completion of these tasks with you to your first meeting with your </w:t>
      </w:r>
      <w:proofErr w:type="gramStart"/>
      <w:r w:rsidR="001D1D7F" w:rsidRPr="0062050C">
        <w:rPr>
          <w:rFonts w:ascii="Calibri" w:hAnsi="Calibri" w:cs="Arial"/>
        </w:rPr>
        <w:t>University</w:t>
      </w:r>
      <w:proofErr w:type="gramEnd"/>
      <w:r w:rsidR="003352EC" w:rsidRPr="0062050C">
        <w:rPr>
          <w:rFonts w:ascii="Calibri" w:hAnsi="Calibri" w:cs="Arial"/>
        </w:rPr>
        <w:t xml:space="preserve"> tutor at the beginning of the </w:t>
      </w:r>
      <w:r w:rsidR="001D1D7F" w:rsidRPr="0062050C">
        <w:rPr>
          <w:rFonts w:ascii="Calibri" w:hAnsi="Calibri" w:cs="Arial"/>
        </w:rPr>
        <w:t>university programme</w:t>
      </w:r>
      <w:r w:rsidR="00B10A3C" w:rsidRPr="0062050C">
        <w:rPr>
          <w:rFonts w:ascii="Calibri" w:hAnsi="Calibri" w:cs="Arial"/>
        </w:rPr>
        <w:t>.</w:t>
      </w:r>
    </w:p>
    <w:p w14:paraId="5BB4FD9A" w14:textId="77777777" w:rsidR="00022C05" w:rsidRPr="0062050C" w:rsidRDefault="00022C05" w:rsidP="00647E34">
      <w:pPr>
        <w:rPr>
          <w:rFonts w:ascii="Calibri" w:hAnsi="Calibri" w:cs="Arial"/>
          <w:bCs/>
        </w:rPr>
      </w:pPr>
    </w:p>
    <w:p w14:paraId="4971DA02" w14:textId="77777777" w:rsidR="00446883" w:rsidRPr="0062050C" w:rsidRDefault="005E284B" w:rsidP="00647E34">
      <w:pPr>
        <w:rPr>
          <w:rFonts w:ascii="Calibri" w:hAnsi="Calibri" w:cs="Arial"/>
          <w:bCs/>
        </w:rPr>
      </w:pPr>
      <w:r w:rsidRPr="0062050C">
        <w:rPr>
          <w:rFonts w:ascii="Calibri" w:hAnsi="Calibri" w:cs="Arial"/>
          <w:bCs/>
        </w:rPr>
        <w:t xml:space="preserve">You should start work immediately on the  </w:t>
      </w:r>
      <w:r w:rsidRPr="0062050C">
        <w:rPr>
          <w:rFonts w:ascii="Calibri" w:hAnsi="Calibri" w:cs="Arial"/>
          <w:bCs/>
        </w:rPr>
        <w:sym w:font="Wingdings" w:char="F0FC"/>
      </w:r>
      <w:r w:rsidRPr="0062050C">
        <w:rPr>
          <w:rFonts w:ascii="Calibri" w:hAnsi="Calibri" w:cs="Arial"/>
          <w:bCs/>
        </w:rPr>
        <w:t xml:space="preserve"> areas and the areas </w:t>
      </w:r>
      <w:r w:rsidR="00FB5082" w:rsidRPr="0062050C">
        <w:rPr>
          <w:rFonts w:ascii="Calibri" w:hAnsi="Calibri" w:cs="Arial"/>
          <w:bCs/>
        </w:rPr>
        <w:t>rated‘d’</w:t>
      </w:r>
      <w:r w:rsidRPr="0062050C">
        <w:rPr>
          <w:rFonts w:ascii="Calibri" w:hAnsi="Calibri" w:cs="Arial"/>
          <w:bCs/>
        </w:rPr>
        <w:t xml:space="preserve"> in </w:t>
      </w:r>
      <w:r w:rsidR="00E02B9C" w:rsidRPr="0062050C">
        <w:rPr>
          <w:rFonts w:ascii="Calibri" w:hAnsi="Calibri" w:cs="Arial"/>
          <w:bCs/>
        </w:rPr>
        <w:t xml:space="preserve">your </w:t>
      </w:r>
      <w:r w:rsidRPr="0062050C">
        <w:rPr>
          <w:rFonts w:ascii="Calibri" w:hAnsi="Calibri" w:cs="Arial"/>
          <w:bCs/>
        </w:rPr>
        <w:t>Subject Knowledge Audit.</w:t>
      </w:r>
    </w:p>
    <w:p w14:paraId="2FC54922" w14:textId="77777777" w:rsidR="003352EC" w:rsidRPr="0062050C" w:rsidRDefault="003352EC" w:rsidP="003352EC">
      <w:pPr>
        <w:rPr>
          <w:rFonts w:ascii="Calibri" w:hAnsi="Calibri" w:cs="Arial"/>
          <w:b/>
          <w:bCs/>
        </w:rPr>
      </w:pPr>
      <w:r w:rsidRPr="0062050C">
        <w:rPr>
          <w:rFonts w:ascii="Calibri" w:hAnsi="Calibri" w:cs="Arial"/>
          <w:b/>
          <w:bCs/>
        </w:rPr>
        <w:t>Subject knowledge per se</w:t>
      </w:r>
      <w:r w:rsidR="0062050C" w:rsidRPr="0062050C">
        <w:rPr>
          <w:rFonts w:ascii="Calibri" w:hAnsi="Calibri" w:cs="Arial"/>
          <w:b/>
          <w:bCs/>
        </w:rPr>
        <w:t>:</w:t>
      </w:r>
    </w:p>
    <w:p w14:paraId="3E935EFD" w14:textId="77777777" w:rsidR="0062050C" w:rsidRPr="0062050C" w:rsidRDefault="0062050C" w:rsidP="003352EC">
      <w:pPr>
        <w:rPr>
          <w:rFonts w:ascii="Calibri" w:hAnsi="Calibri" w:cs="Arial"/>
          <w:b/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5"/>
        <w:gridCol w:w="9639"/>
      </w:tblGrid>
      <w:tr w:rsidR="000406B3" w:rsidRPr="0062050C" w14:paraId="455D9884" w14:textId="77777777" w:rsidTr="006E60AA">
        <w:tc>
          <w:tcPr>
            <w:tcW w:w="519" w:type="dxa"/>
          </w:tcPr>
          <w:p w14:paraId="36AFEE3F" w14:textId="77777777" w:rsidR="000406B3" w:rsidRPr="0062050C" w:rsidRDefault="000406B3" w:rsidP="00C369C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2050C">
              <w:rPr>
                <w:rFonts w:ascii="Calibri" w:hAnsi="Calibri" w:cs="Arial"/>
                <w:b/>
                <w:bCs/>
              </w:rPr>
              <w:sym w:font="Wingdings" w:char="F0FC"/>
            </w:r>
          </w:p>
        </w:tc>
        <w:tc>
          <w:tcPr>
            <w:tcW w:w="615" w:type="dxa"/>
          </w:tcPr>
          <w:p w14:paraId="1653B4AA" w14:textId="77777777" w:rsidR="000406B3" w:rsidRPr="0062050C" w:rsidRDefault="000406B3" w:rsidP="000406B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2050C">
              <w:rPr>
                <w:rFonts w:ascii="Calibri" w:hAnsi="Calibri" w:cs="Arial"/>
                <w:b/>
                <w:bCs/>
              </w:rPr>
              <w:t>No.</w:t>
            </w:r>
          </w:p>
        </w:tc>
        <w:tc>
          <w:tcPr>
            <w:tcW w:w="9639" w:type="dxa"/>
          </w:tcPr>
          <w:p w14:paraId="2446A611" w14:textId="77777777" w:rsidR="000406B3" w:rsidRPr="0062050C" w:rsidRDefault="000406B3" w:rsidP="00C369C3">
            <w:pPr>
              <w:rPr>
                <w:rFonts w:ascii="Calibri" w:hAnsi="Calibri" w:cs="Arial"/>
                <w:b/>
                <w:bCs/>
              </w:rPr>
            </w:pPr>
            <w:r w:rsidRPr="0062050C">
              <w:rPr>
                <w:rFonts w:ascii="Calibri" w:hAnsi="Calibri" w:cs="Arial"/>
                <w:b/>
                <w:bCs/>
              </w:rPr>
              <w:t xml:space="preserve">Tasks </w:t>
            </w:r>
          </w:p>
        </w:tc>
      </w:tr>
      <w:tr w:rsidR="00160966" w:rsidRPr="0062050C" w14:paraId="796CA20A" w14:textId="77777777" w:rsidTr="006E60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E97" w14:textId="77777777" w:rsidR="00160966" w:rsidRPr="0062050C" w:rsidRDefault="00160966" w:rsidP="004D5248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sym w:font="Wingdings" w:char="F0FC"/>
            </w:r>
            <w:r w:rsidRPr="0062050C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A24" w14:textId="77777777" w:rsidR="00160966" w:rsidRPr="0062050C" w:rsidRDefault="00160966" w:rsidP="004D5248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543" w14:textId="77777777" w:rsidR="00F97358" w:rsidRDefault="00F97358" w:rsidP="00F97358">
            <w:r>
              <w:rPr>
                <w:rFonts w:ascii="Calibri" w:hAnsi="Calibri" w:cs="Arial"/>
                <w:sz w:val="22"/>
                <w:szCs w:val="22"/>
              </w:rPr>
              <w:t xml:space="preserve">Complete the Channel online Prevent training &amp; radicalisation awareness course. </w:t>
            </w:r>
            <w:hyperlink r:id="rId7" w:history="1">
              <w:r>
                <w:rPr>
                  <w:rStyle w:val="Hyperlink"/>
                </w:rPr>
                <w:t>https://www.elearning.prevent.homeoffice.gov.uk/channel_awareness/01-welcome.html</w:t>
              </w:r>
            </w:hyperlink>
          </w:p>
          <w:p w14:paraId="572D218A" w14:textId="77777777" w:rsidR="00160966" w:rsidRPr="00E751E7" w:rsidRDefault="00160966" w:rsidP="008F4D0E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160966" w:rsidRPr="0062050C" w14:paraId="5453B35E" w14:textId="77777777" w:rsidTr="006E60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3F3" w14:textId="77777777" w:rsidR="00160966" w:rsidRPr="0062050C" w:rsidRDefault="00160966" w:rsidP="004D5248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 xml:space="preserve"> </w:t>
            </w:r>
            <w:r w:rsidRPr="0062050C">
              <w:rPr>
                <w:rFonts w:ascii="Calibri" w:hAnsi="Calibri" w:cs="Arial"/>
                <w:bCs/>
              </w:rPr>
              <w:sym w:font="Wingdings" w:char="F0FC"/>
            </w:r>
            <w:r w:rsidRPr="0062050C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71A" w14:textId="77777777" w:rsidR="00160966" w:rsidRPr="0062050C" w:rsidRDefault="00160966" w:rsidP="004D5248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AE1" w14:textId="77777777" w:rsidR="006E60AA" w:rsidRDefault="006E60AA" w:rsidP="006E60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Read the Safeguarding document ‘Keeping Children Safe in Education’ (DfE, 2021) available from the Department for Education website </w:t>
            </w:r>
            <w:hyperlink r:id="rId8" w:history="1">
              <w:r>
                <w:rPr>
                  <w:rStyle w:val="Hyperlink"/>
                </w:rPr>
                <w:t>Keeping children safe in education 2021 (publishing.service.gov.uk)</w:t>
              </w:r>
            </w:hyperlink>
          </w:p>
          <w:p w14:paraId="47604C16" w14:textId="77777777" w:rsidR="00160966" w:rsidRPr="00E751E7" w:rsidRDefault="00160966" w:rsidP="008F4D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0966" w:rsidRPr="0062050C" w14:paraId="2FEC6241" w14:textId="77777777" w:rsidTr="006E60A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303" w14:textId="77777777" w:rsidR="00160966" w:rsidRPr="0062050C" w:rsidRDefault="00160966" w:rsidP="004D5248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 xml:space="preserve"> </w:t>
            </w:r>
            <w:r w:rsidRPr="0062050C">
              <w:rPr>
                <w:rFonts w:ascii="Calibri" w:hAnsi="Calibri" w:cs="Arial"/>
                <w:bCs/>
              </w:rPr>
              <w:sym w:font="Wingdings" w:char="F0FC"/>
            </w:r>
            <w:r w:rsidRPr="0062050C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938" w14:textId="77777777" w:rsidR="00160966" w:rsidRPr="0062050C" w:rsidRDefault="00160966" w:rsidP="004D5248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5A1" w14:textId="77777777" w:rsidR="00A70269" w:rsidRDefault="00A70269" w:rsidP="00A70269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Familiarise yourself with the Inclusion Development Programme online which is a resource to help improve outcomes for pupils with Special Educational Needs.</w:t>
            </w:r>
            <w:r>
              <w:rPr>
                <w:rStyle w:val="eop"/>
                <w:rFonts w:ascii="&amp;quot" w:hAnsi="&amp;quot"/>
                <w:sz w:val="22"/>
                <w:szCs w:val="22"/>
              </w:rPr>
              <w:t> </w:t>
            </w:r>
            <w:hyperlink r:id="rId9" w:history="1">
              <w:r>
                <w:rPr>
                  <w:rStyle w:val="Hyperlink"/>
                  <w:rFonts w:ascii="&amp;quot" w:hAnsi="&amp;quot"/>
                  <w:sz w:val="18"/>
                  <w:szCs w:val="18"/>
                </w:rPr>
                <w:t>https://www.sendgateway.org.uk/</w:t>
              </w:r>
            </w:hyperlink>
          </w:p>
          <w:p w14:paraId="498FE260" w14:textId="77777777" w:rsidR="00160966" w:rsidRPr="00E36962" w:rsidRDefault="00160966" w:rsidP="008F4D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06B3" w:rsidRPr="0062050C" w14:paraId="2E4C49ED" w14:textId="77777777" w:rsidTr="006E60AA">
        <w:tc>
          <w:tcPr>
            <w:tcW w:w="519" w:type="dxa"/>
          </w:tcPr>
          <w:p w14:paraId="1A82283D" w14:textId="77777777" w:rsidR="000406B3" w:rsidRPr="0062050C" w:rsidRDefault="000406B3" w:rsidP="00DA180D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</w:tcPr>
          <w:p w14:paraId="0E4E70B9" w14:textId="77777777" w:rsidR="000406B3" w:rsidRPr="0062050C" w:rsidRDefault="00D6116C" w:rsidP="000406B3">
            <w:pPr>
              <w:jc w:val="center"/>
              <w:rPr>
                <w:rFonts w:ascii="Calibri" w:hAnsi="Calibri" w:cs="Arial"/>
              </w:rPr>
            </w:pPr>
            <w:r w:rsidRPr="0062050C">
              <w:rPr>
                <w:rFonts w:ascii="Calibri" w:hAnsi="Calibri" w:cs="Arial"/>
              </w:rPr>
              <w:t>4</w:t>
            </w:r>
          </w:p>
        </w:tc>
        <w:tc>
          <w:tcPr>
            <w:tcW w:w="9639" w:type="dxa"/>
          </w:tcPr>
          <w:p w14:paraId="72472466" w14:textId="77777777" w:rsidR="000406B3" w:rsidRPr="00FB5082" w:rsidRDefault="00FB5082" w:rsidP="00A86D44">
            <w:pPr>
              <w:rPr>
                <w:rFonts w:ascii="Calibri" w:hAnsi="Calibri" w:cs="Arial"/>
              </w:rPr>
            </w:pPr>
            <w:r w:rsidRPr="00FB5082">
              <w:rPr>
                <w:rFonts w:ascii="Calibri" w:hAnsi="Calibri" w:cs="Arial"/>
              </w:rPr>
              <w:t>To become familiar with the current Locally Agreed Syllabuses for Religious Education</w:t>
            </w:r>
            <w:r>
              <w:rPr>
                <w:rFonts w:ascii="Calibri" w:hAnsi="Calibri" w:cs="Arial"/>
              </w:rPr>
              <w:t xml:space="preserve"> </w:t>
            </w:r>
            <w:r w:rsidRPr="00FB5082">
              <w:rPr>
                <w:rFonts w:ascii="Calibri" w:hAnsi="Calibri" w:cs="Arial"/>
              </w:rPr>
              <w:t xml:space="preserve">from the Local Authorities in the </w:t>
            </w:r>
            <w:proofErr w:type="gramStart"/>
            <w:r w:rsidRPr="00FB5082">
              <w:rPr>
                <w:rFonts w:ascii="Calibri" w:hAnsi="Calibri" w:cs="Arial"/>
              </w:rPr>
              <w:t>South West</w:t>
            </w:r>
            <w:proofErr w:type="gramEnd"/>
            <w:r w:rsidRPr="00FB5082">
              <w:rPr>
                <w:rFonts w:ascii="Calibri" w:hAnsi="Calibri" w:cs="Arial"/>
              </w:rPr>
              <w:t xml:space="preserve"> and examination specification documentation. Academies may create their own RE curriculum.</w:t>
            </w:r>
          </w:p>
        </w:tc>
      </w:tr>
      <w:tr w:rsidR="000406B3" w:rsidRPr="0062050C" w14:paraId="1702514F" w14:textId="77777777" w:rsidTr="006E60AA">
        <w:tc>
          <w:tcPr>
            <w:tcW w:w="519" w:type="dxa"/>
          </w:tcPr>
          <w:p w14:paraId="3FBCE017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615" w:type="dxa"/>
          </w:tcPr>
          <w:p w14:paraId="4BEDA7C6" w14:textId="77777777" w:rsidR="000406B3" w:rsidRPr="0062050C" w:rsidRDefault="00FB5082" w:rsidP="000406B3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</w:t>
            </w:r>
          </w:p>
          <w:p w14:paraId="774A3377" w14:textId="77777777" w:rsidR="000406B3" w:rsidRPr="0062050C" w:rsidRDefault="000406B3" w:rsidP="000406B3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9639" w:type="dxa"/>
          </w:tcPr>
          <w:p w14:paraId="74A54294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 xml:space="preserve">Consider how </w:t>
            </w:r>
            <w:r w:rsidR="00A86D44" w:rsidRPr="0062050C">
              <w:rPr>
                <w:rFonts w:ascii="Calibri" w:hAnsi="Calibri" w:cs="Arial"/>
                <w:bCs/>
              </w:rPr>
              <w:t>Humanities</w:t>
            </w:r>
            <w:r w:rsidRPr="0062050C">
              <w:rPr>
                <w:rFonts w:ascii="Calibri" w:hAnsi="Calibri" w:cs="Arial"/>
                <w:bCs/>
              </w:rPr>
              <w:t xml:space="preserve"> departments support different groups of learners:</w:t>
            </w:r>
          </w:p>
          <w:p w14:paraId="02F82CC4" w14:textId="77777777" w:rsidR="000406B3" w:rsidRPr="0062050C" w:rsidRDefault="000406B3" w:rsidP="00F7339F">
            <w:pPr>
              <w:numPr>
                <w:ilvl w:val="0"/>
                <w:numId w:val="17"/>
              </w:numPr>
              <w:rPr>
                <w:rFonts w:ascii="Calibri" w:hAnsi="Calibri" w:cs="Arial"/>
                <w:bCs/>
              </w:rPr>
            </w:pPr>
            <w:proofErr w:type="gramStart"/>
            <w:r w:rsidRPr="0062050C">
              <w:rPr>
                <w:rFonts w:ascii="Calibri" w:hAnsi="Calibri" w:cs="Arial"/>
                <w:bCs/>
              </w:rPr>
              <w:t>EAL</w:t>
            </w:r>
            <w:r w:rsidR="005C4552" w:rsidRPr="0062050C">
              <w:rPr>
                <w:rFonts w:ascii="Calibri" w:hAnsi="Calibri" w:cs="Arial"/>
                <w:bCs/>
              </w:rPr>
              <w:t>;</w:t>
            </w:r>
            <w:proofErr w:type="gramEnd"/>
          </w:p>
          <w:p w14:paraId="05DA1E91" w14:textId="77777777" w:rsidR="000406B3" w:rsidRPr="0062050C" w:rsidRDefault="000406B3" w:rsidP="00F7339F">
            <w:pPr>
              <w:numPr>
                <w:ilvl w:val="0"/>
                <w:numId w:val="17"/>
              </w:numPr>
              <w:rPr>
                <w:rFonts w:ascii="Calibri" w:hAnsi="Calibri" w:cs="Arial"/>
                <w:bCs/>
              </w:rPr>
            </w:pPr>
            <w:proofErr w:type="gramStart"/>
            <w:r w:rsidRPr="0062050C">
              <w:rPr>
                <w:rFonts w:ascii="Calibri" w:hAnsi="Calibri" w:cs="Arial"/>
                <w:bCs/>
              </w:rPr>
              <w:t>SEN</w:t>
            </w:r>
            <w:r w:rsidR="005C4552" w:rsidRPr="0062050C">
              <w:rPr>
                <w:rFonts w:ascii="Calibri" w:hAnsi="Calibri" w:cs="Arial"/>
                <w:bCs/>
              </w:rPr>
              <w:t>;</w:t>
            </w:r>
            <w:proofErr w:type="gramEnd"/>
          </w:p>
          <w:p w14:paraId="1BD35F78" w14:textId="77777777" w:rsidR="000406B3" w:rsidRPr="0062050C" w:rsidRDefault="00160966" w:rsidP="001D1D7F">
            <w:pPr>
              <w:numPr>
                <w:ilvl w:val="0"/>
                <w:numId w:val="17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Higher attaining pupils</w:t>
            </w:r>
          </w:p>
        </w:tc>
      </w:tr>
      <w:tr w:rsidR="000406B3" w:rsidRPr="0062050C" w14:paraId="021A1D4F" w14:textId="77777777" w:rsidTr="006E60AA">
        <w:tc>
          <w:tcPr>
            <w:tcW w:w="519" w:type="dxa"/>
          </w:tcPr>
          <w:p w14:paraId="4EF5FC4F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615" w:type="dxa"/>
          </w:tcPr>
          <w:p w14:paraId="4DDD3229" w14:textId="77777777" w:rsidR="000406B3" w:rsidRPr="0062050C" w:rsidRDefault="00FB5082" w:rsidP="000406B3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</w:p>
        </w:tc>
        <w:tc>
          <w:tcPr>
            <w:tcW w:w="9639" w:type="dxa"/>
          </w:tcPr>
          <w:p w14:paraId="39DA2DC1" w14:textId="77777777" w:rsidR="000406B3" w:rsidRPr="0062050C" w:rsidRDefault="000406B3" w:rsidP="00A86D44">
            <w:pPr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 xml:space="preserve">Explore opportunities </w:t>
            </w:r>
            <w:r w:rsidR="005C4552" w:rsidRPr="0062050C">
              <w:rPr>
                <w:rFonts w:ascii="Calibri" w:hAnsi="Calibri" w:cs="Arial"/>
                <w:bCs/>
              </w:rPr>
              <w:t xml:space="preserve">to show how </w:t>
            </w:r>
            <w:r w:rsidR="00A4232F" w:rsidRPr="0062050C">
              <w:rPr>
                <w:rFonts w:ascii="Calibri" w:hAnsi="Calibri" w:cs="Arial"/>
                <w:bCs/>
              </w:rPr>
              <w:t>Religious Education</w:t>
            </w:r>
            <w:r w:rsidR="00A86D44" w:rsidRPr="0062050C">
              <w:rPr>
                <w:rFonts w:ascii="Calibri" w:hAnsi="Calibri" w:cs="Arial"/>
                <w:bCs/>
              </w:rPr>
              <w:t xml:space="preserve"> can make the most of learning outside the classroom</w:t>
            </w:r>
            <w:r w:rsidR="005C4552" w:rsidRPr="0062050C">
              <w:rPr>
                <w:rFonts w:ascii="Calibri" w:hAnsi="Calibri" w:cs="Arial"/>
                <w:bCs/>
              </w:rPr>
              <w:t xml:space="preserve">, including </w:t>
            </w:r>
            <w:proofErr w:type="gramStart"/>
            <w:r w:rsidR="00A86D44" w:rsidRPr="0062050C">
              <w:rPr>
                <w:rFonts w:ascii="Calibri" w:hAnsi="Calibri" w:cs="Arial"/>
                <w:bCs/>
              </w:rPr>
              <w:t>field</w:t>
            </w:r>
            <w:r w:rsidR="005C4552" w:rsidRPr="0062050C">
              <w:rPr>
                <w:rFonts w:ascii="Calibri" w:hAnsi="Calibri" w:cs="Arial"/>
                <w:bCs/>
              </w:rPr>
              <w:t>-</w:t>
            </w:r>
            <w:r w:rsidR="00A86D44" w:rsidRPr="0062050C">
              <w:rPr>
                <w:rFonts w:ascii="Calibri" w:hAnsi="Calibri" w:cs="Arial"/>
                <w:bCs/>
              </w:rPr>
              <w:t>work</w:t>
            </w:r>
            <w:proofErr w:type="gramEnd"/>
            <w:r w:rsidR="005C4552" w:rsidRPr="0062050C">
              <w:rPr>
                <w:rFonts w:ascii="Calibri" w:hAnsi="Calibri" w:cs="Arial"/>
                <w:bCs/>
              </w:rPr>
              <w:t>.</w:t>
            </w:r>
            <w:r w:rsidR="00A86D44" w:rsidRPr="0062050C">
              <w:rPr>
                <w:rFonts w:ascii="Calibri" w:hAnsi="Calibri" w:cs="Arial"/>
                <w:bCs/>
              </w:rPr>
              <w:t xml:space="preserve"> </w:t>
            </w:r>
            <w:r w:rsidRPr="0062050C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0406B3" w:rsidRPr="0062050C" w14:paraId="25ACDF24" w14:textId="77777777" w:rsidTr="006E60AA">
        <w:tc>
          <w:tcPr>
            <w:tcW w:w="519" w:type="dxa"/>
          </w:tcPr>
          <w:p w14:paraId="3EE30B28" w14:textId="77777777" w:rsidR="000406B3" w:rsidRPr="0062050C" w:rsidRDefault="000406B3" w:rsidP="00C369C3">
            <w:pPr>
              <w:rPr>
                <w:rFonts w:ascii="Calibri" w:hAnsi="Calibri" w:cs="Arial"/>
              </w:rPr>
            </w:pPr>
          </w:p>
        </w:tc>
        <w:tc>
          <w:tcPr>
            <w:tcW w:w="615" w:type="dxa"/>
          </w:tcPr>
          <w:p w14:paraId="272FE4DD" w14:textId="77777777" w:rsidR="000406B3" w:rsidRPr="0062050C" w:rsidRDefault="00FB5082" w:rsidP="000406B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  <w:p w14:paraId="736BA8E8" w14:textId="77777777" w:rsidR="000406B3" w:rsidRPr="0062050C" w:rsidRDefault="000406B3" w:rsidP="000406B3">
            <w:pPr>
              <w:jc w:val="center"/>
              <w:rPr>
                <w:rFonts w:ascii="Calibri" w:hAnsi="Calibri" w:cs="Arial"/>
              </w:rPr>
            </w:pPr>
          </w:p>
          <w:p w14:paraId="043BB615" w14:textId="77777777" w:rsidR="000406B3" w:rsidRPr="0062050C" w:rsidRDefault="000406B3" w:rsidP="000406B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39" w:type="dxa"/>
          </w:tcPr>
          <w:p w14:paraId="01C50964" w14:textId="77777777" w:rsidR="00A86D44" w:rsidRDefault="000406B3" w:rsidP="00FB5082">
            <w:pPr>
              <w:rPr>
                <w:rFonts w:ascii="Calibri" w:hAnsi="Calibri" w:cs="Arial"/>
              </w:rPr>
            </w:pPr>
            <w:r w:rsidRPr="0062050C">
              <w:rPr>
                <w:rFonts w:ascii="Calibri" w:hAnsi="Calibri" w:cs="Arial"/>
              </w:rPr>
              <w:t xml:space="preserve">Observe how a variety of </w:t>
            </w:r>
            <w:r w:rsidR="00A86D44" w:rsidRPr="0062050C">
              <w:rPr>
                <w:rFonts w:ascii="Calibri" w:hAnsi="Calibri" w:cs="Arial"/>
              </w:rPr>
              <w:t>topics</w:t>
            </w:r>
            <w:r w:rsidR="005C4552" w:rsidRPr="0062050C">
              <w:rPr>
                <w:rFonts w:ascii="Calibri" w:hAnsi="Calibri" w:cs="Arial"/>
              </w:rPr>
              <w:t xml:space="preserve"> are </w:t>
            </w:r>
            <w:r w:rsidRPr="0062050C">
              <w:rPr>
                <w:rFonts w:ascii="Calibri" w:hAnsi="Calibri" w:cs="Arial"/>
              </w:rPr>
              <w:t xml:space="preserve">taught within </w:t>
            </w:r>
            <w:r w:rsidR="00A4232F" w:rsidRPr="0062050C">
              <w:rPr>
                <w:rFonts w:ascii="Calibri" w:hAnsi="Calibri" w:cs="Arial"/>
              </w:rPr>
              <w:t>Religious Education</w:t>
            </w:r>
            <w:r w:rsidRPr="0062050C">
              <w:rPr>
                <w:rFonts w:ascii="Calibri" w:hAnsi="Calibri" w:cs="Arial"/>
              </w:rPr>
              <w:t xml:space="preserve"> in a school setting.  For example:</w:t>
            </w:r>
          </w:p>
          <w:p w14:paraId="7F05F8EC" w14:textId="77777777" w:rsidR="00FB5082" w:rsidRPr="008C1434" w:rsidRDefault="00FB5082" w:rsidP="00FB5082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 w:rsidRPr="00CE6221">
              <w:rPr>
                <w:rFonts w:ascii="Calibri" w:hAnsi="Calibri" w:cs="HelveticaNeueLTStd-Bd"/>
                <w:sz w:val="22"/>
                <w:szCs w:val="22"/>
                <w:lang w:eastAsia="en-GB"/>
              </w:rPr>
              <w:t>Religion and Citizenship</w:t>
            </w:r>
          </w:p>
          <w:p w14:paraId="232B6D66" w14:textId="77777777" w:rsidR="00FB5082" w:rsidRPr="008C1434" w:rsidRDefault="00FB5082" w:rsidP="00FB5082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 w:rsidRPr="00CE6221">
              <w:rPr>
                <w:rFonts w:ascii="Calibri" w:hAnsi="Calibri"/>
                <w:sz w:val="22"/>
                <w:szCs w:val="22"/>
              </w:rPr>
              <w:t xml:space="preserve">Ethics and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CE6221">
              <w:rPr>
                <w:rFonts w:ascii="Calibri" w:hAnsi="Calibri"/>
                <w:sz w:val="22"/>
                <w:szCs w:val="22"/>
              </w:rPr>
              <w:t>eligion</w:t>
            </w:r>
          </w:p>
          <w:p w14:paraId="5410AF9B" w14:textId="77777777" w:rsidR="00FB5082" w:rsidRPr="00CE6221" w:rsidRDefault="00FB5082" w:rsidP="00FB50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E6221">
              <w:rPr>
                <w:rFonts w:ascii="Calibri" w:hAnsi="Calibri" w:cs="HelveticaNeueLTStd-Bd"/>
                <w:sz w:val="22"/>
                <w:szCs w:val="22"/>
                <w:lang w:eastAsia="en-GB"/>
              </w:rPr>
              <w:t>Religious Philosophy and Ultimate Questions</w:t>
            </w:r>
          </w:p>
          <w:p w14:paraId="1F2DA713" w14:textId="77777777" w:rsidR="00FB5082" w:rsidRPr="00CE6221" w:rsidRDefault="00FB5082" w:rsidP="00FB5082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 w:rsidRPr="00CE6221">
              <w:rPr>
                <w:rFonts w:ascii="Calibri" w:hAnsi="Calibri" w:cs="HelveticaNeueLTStd-Bd"/>
                <w:sz w:val="22"/>
                <w:szCs w:val="22"/>
                <w:lang w:eastAsia="en-GB"/>
              </w:rPr>
              <w:t>Religious Expression in Society</w:t>
            </w:r>
          </w:p>
          <w:p w14:paraId="356F4E9B" w14:textId="77777777" w:rsidR="00FB5082" w:rsidRPr="00CE6221" w:rsidRDefault="00FB5082" w:rsidP="00FB5082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 w:rsidRPr="00CE6221">
              <w:rPr>
                <w:rFonts w:ascii="Calibri" w:hAnsi="Calibri" w:cs="HelveticaNeueLTStd-Bd"/>
                <w:sz w:val="22"/>
                <w:szCs w:val="22"/>
                <w:lang w:eastAsia="en-GB"/>
              </w:rPr>
              <w:t>Worship and Key Beliefs</w:t>
            </w:r>
          </w:p>
          <w:p w14:paraId="0A276DD3" w14:textId="77777777" w:rsidR="00FB5082" w:rsidRPr="00FB5082" w:rsidRDefault="00FB5082" w:rsidP="00FB5082">
            <w:pPr>
              <w:rPr>
                <w:rFonts w:ascii="Calibri" w:hAnsi="Calibri" w:cs="Arial"/>
              </w:rPr>
            </w:pPr>
            <w:r w:rsidRPr="00CE6221">
              <w:rPr>
                <w:rFonts w:ascii="Calibri" w:hAnsi="Calibri"/>
                <w:sz w:val="22"/>
                <w:szCs w:val="22"/>
              </w:rPr>
              <w:t xml:space="preserve">Study of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CE6221">
              <w:rPr>
                <w:rFonts w:ascii="Calibri" w:hAnsi="Calibri"/>
                <w:sz w:val="22"/>
                <w:szCs w:val="22"/>
              </w:rPr>
              <w:t>eligion and dialogues (</w:t>
            </w:r>
            <w:r w:rsidRPr="00CE6221">
              <w:rPr>
                <w:rFonts w:ascii="Calibri" w:hAnsi="Calibri"/>
                <w:sz w:val="22"/>
                <w:szCs w:val="22"/>
                <w:lang w:eastAsia="en-GB"/>
              </w:rPr>
              <w:t>Buddhism, Christianity, Hinduism, Islam, Judaism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and Sikhism</w:t>
            </w:r>
            <w:r w:rsidRPr="00CE6221">
              <w:rPr>
                <w:rFonts w:ascii="Calibri" w:hAnsi="Calibri"/>
                <w:sz w:val="22"/>
                <w:szCs w:val="22"/>
                <w:lang w:eastAsia="en-GB"/>
              </w:rPr>
              <w:t>)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>. Consider other traditions too such as Baha’i, Zoroastrianism and Humanism.</w:t>
            </w:r>
          </w:p>
        </w:tc>
      </w:tr>
      <w:tr w:rsidR="000406B3" w:rsidRPr="0062050C" w14:paraId="5D36D078" w14:textId="77777777" w:rsidTr="006E60AA">
        <w:tc>
          <w:tcPr>
            <w:tcW w:w="519" w:type="dxa"/>
          </w:tcPr>
          <w:p w14:paraId="73F93759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615" w:type="dxa"/>
          </w:tcPr>
          <w:p w14:paraId="3ACD5847" w14:textId="77777777" w:rsidR="000406B3" w:rsidRPr="0062050C" w:rsidRDefault="00FB5082" w:rsidP="000406B3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8</w:t>
            </w:r>
          </w:p>
        </w:tc>
        <w:tc>
          <w:tcPr>
            <w:tcW w:w="9639" w:type="dxa"/>
          </w:tcPr>
          <w:p w14:paraId="72C07AE0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 xml:space="preserve">Develop an awareness of content and range of options </w:t>
            </w:r>
            <w:r w:rsidR="00A86D44" w:rsidRPr="0062050C">
              <w:rPr>
                <w:rFonts w:ascii="Calibri" w:hAnsi="Calibri" w:cs="Arial"/>
                <w:bCs/>
              </w:rPr>
              <w:t xml:space="preserve">linked to </w:t>
            </w:r>
            <w:r w:rsidR="00A4232F" w:rsidRPr="0062050C">
              <w:rPr>
                <w:rFonts w:ascii="Calibri" w:hAnsi="Calibri" w:cs="Arial"/>
                <w:bCs/>
              </w:rPr>
              <w:t>Religious Education</w:t>
            </w:r>
            <w:r w:rsidR="00A86D44" w:rsidRPr="0062050C">
              <w:rPr>
                <w:rFonts w:ascii="Calibri" w:hAnsi="Calibri" w:cs="Arial"/>
                <w:bCs/>
              </w:rPr>
              <w:t xml:space="preserve"> </w:t>
            </w:r>
            <w:r w:rsidR="00FB5082">
              <w:rPr>
                <w:rFonts w:ascii="Calibri" w:hAnsi="Calibri" w:cs="Arial"/>
                <w:bCs/>
              </w:rPr>
              <w:t xml:space="preserve">available within 14-19 </w:t>
            </w:r>
            <w:r w:rsidR="00160966" w:rsidRPr="0062050C">
              <w:rPr>
                <w:rFonts w:ascii="Calibri" w:hAnsi="Calibri" w:cs="Arial"/>
                <w:bCs/>
              </w:rPr>
              <w:t>accreditations</w:t>
            </w:r>
            <w:r w:rsidR="005C4552" w:rsidRPr="0062050C">
              <w:rPr>
                <w:rFonts w:ascii="Calibri" w:hAnsi="Calibri" w:cs="Arial"/>
                <w:bCs/>
              </w:rPr>
              <w:t>.</w:t>
            </w:r>
          </w:p>
        </w:tc>
      </w:tr>
      <w:tr w:rsidR="000406B3" w:rsidRPr="0062050C" w14:paraId="51FE1F6E" w14:textId="77777777" w:rsidTr="006E60AA">
        <w:tc>
          <w:tcPr>
            <w:tcW w:w="519" w:type="dxa"/>
          </w:tcPr>
          <w:p w14:paraId="1AE8776B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615" w:type="dxa"/>
          </w:tcPr>
          <w:p w14:paraId="633A05F5" w14:textId="77777777" w:rsidR="000406B3" w:rsidRPr="0062050C" w:rsidRDefault="00FB5082" w:rsidP="000406B3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9</w:t>
            </w:r>
          </w:p>
        </w:tc>
        <w:tc>
          <w:tcPr>
            <w:tcW w:w="9639" w:type="dxa"/>
          </w:tcPr>
          <w:p w14:paraId="440369C9" w14:textId="77777777" w:rsidR="000406B3" w:rsidRPr="0062050C" w:rsidRDefault="00FB5082" w:rsidP="00A86D44">
            <w:pPr>
              <w:rPr>
                <w:rFonts w:ascii="Calibri" w:hAnsi="Calibri" w:cs="Arial"/>
                <w:bCs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Find out how pupils are assessed in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Religious Education</w:t>
            </w: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 at Key Stage 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its relationship to what is offered at KS4.</w:t>
            </w:r>
          </w:p>
        </w:tc>
      </w:tr>
      <w:tr w:rsidR="000406B3" w:rsidRPr="0062050C" w14:paraId="237FDE22" w14:textId="77777777" w:rsidTr="006E60AA">
        <w:tc>
          <w:tcPr>
            <w:tcW w:w="519" w:type="dxa"/>
          </w:tcPr>
          <w:p w14:paraId="1D08AFE1" w14:textId="77777777" w:rsidR="000406B3" w:rsidRPr="0062050C" w:rsidRDefault="000406B3" w:rsidP="00DA180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615" w:type="dxa"/>
          </w:tcPr>
          <w:p w14:paraId="71501A4F" w14:textId="77777777" w:rsidR="000406B3" w:rsidRPr="0062050C" w:rsidRDefault="00D6116C" w:rsidP="000406B3">
            <w:pPr>
              <w:jc w:val="center"/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>1</w:t>
            </w:r>
            <w:r w:rsidR="00FB5082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9639" w:type="dxa"/>
          </w:tcPr>
          <w:p w14:paraId="290E4528" w14:textId="77777777" w:rsidR="000406B3" w:rsidRPr="0062050C" w:rsidRDefault="000406B3" w:rsidP="00AD5CEF">
            <w:pPr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t xml:space="preserve">Find out how schools enable pupils to take part </w:t>
            </w:r>
            <w:r w:rsidR="00432292" w:rsidRPr="0062050C">
              <w:rPr>
                <w:rFonts w:ascii="Calibri" w:hAnsi="Calibri" w:cs="Arial"/>
                <w:bCs/>
              </w:rPr>
              <w:t xml:space="preserve">in </w:t>
            </w:r>
            <w:r w:rsidR="00A4232F" w:rsidRPr="0062050C">
              <w:rPr>
                <w:rFonts w:ascii="Calibri" w:hAnsi="Calibri" w:cs="Calibri"/>
              </w:rPr>
              <w:t>philosophical</w:t>
            </w:r>
            <w:r w:rsidR="00A86D44" w:rsidRPr="0062050C">
              <w:rPr>
                <w:rFonts w:ascii="Calibri" w:hAnsi="Calibri" w:cs="Calibri"/>
              </w:rPr>
              <w:t xml:space="preserve"> enquiry including </w:t>
            </w:r>
            <w:r w:rsidR="00FB5082" w:rsidRPr="0062050C">
              <w:rPr>
                <w:rFonts w:ascii="Calibri" w:hAnsi="Calibri"/>
                <w:lang w:val="en"/>
              </w:rPr>
              <w:t>analyzing</w:t>
            </w:r>
            <w:r w:rsidR="00A4232F" w:rsidRPr="0062050C">
              <w:rPr>
                <w:rFonts w:ascii="Calibri" w:hAnsi="Calibri"/>
                <w:lang w:val="en"/>
              </w:rPr>
              <w:t xml:space="preserve"> and evaluat</w:t>
            </w:r>
            <w:r w:rsidR="00432292" w:rsidRPr="0062050C">
              <w:rPr>
                <w:rFonts w:ascii="Calibri" w:hAnsi="Calibri"/>
                <w:lang w:val="en"/>
              </w:rPr>
              <w:t>i</w:t>
            </w:r>
            <w:r w:rsidR="00AD5CEF" w:rsidRPr="0062050C">
              <w:rPr>
                <w:rFonts w:ascii="Calibri" w:hAnsi="Calibri"/>
                <w:lang w:val="en"/>
              </w:rPr>
              <w:t>o</w:t>
            </w:r>
            <w:r w:rsidR="00432292" w:rsidRPr="0062050C">
              <w:rPr>
                <w:rFonts w:ascii="Calibri" w:hAnsi="Calibri"/>
                <w:lang w:val="en"/>
              </w:rPr>
              <w:t>n</w:t>
            </w:r>
            <w:r w:rsidR="00A4232F" w:rsidRPr="0062050C">
              <w:rPr>
                <w:rFonts w:ascii="Calibri" w:hAnsi="Calibri"/>
                <w:lang w:val="en"/>
              </w:rPr>
              <w:t xml:space="preserve"> issues arising from the topics studied, and</w:t>
            </w:r>
            <w:r w:rsidR="00FB5082">
              <w:rPr>
                <w:rFonts w:ascii="Calibri" w:hAnsi="Calibri"/>
                <w:lang w:val="en"/>
              </w:rPr>
              <w:t xml:space="preserve"> the views and arguments of </w:t>
            </w:r>
            <w:r w:rsidR="00A4232F" w:rsidRPr="0062050C">
              <w:rPr>
                <w:rFonts w:ascii="Calibri" w:hAnsi="Calibri"/>
                <w:lang w:val="en"/>
              </w:rPr>
              <w:t>scholars</w:t>
            </w:r>
            <w:r w:rsidR="005C4552" w:rsidRPr="0062050C">
              <w:rPr>
                <w:rFonts w:ascii="Calibri" w:hAnsi="Calibri"/>
                <w:lang w:val="en"/>
              </w:rPr>
              <w:t>.</w:t>
            </w:r>
          </w:p>
        </w:tc>
      </w:tr>
      <w:tr w:rsidR="005932F0" w:rsidRPr="0062050C" w14:paraId="6A160A43" w14:textId="77777777" w:rsidTr="006E60AA">
        <w:tc>
          <w:tcPr>
            <w:tcW w:w="519" w:type="dxa"/>
          </w:tcPr>
          <w:p w14:paraId="7B798694" w14:textId="77777777" w:rsidR="005932F0" w:rsidRPr="0062050C" w:rsidRDefault="005932F0" w:rsidP="00DA180D">
            <w:pPr>
              <w:rPr>
                <w:rFonts w:ascii="Calibri" w:hAnsi="Calibri" w:cs="Arial"/>
                <w:bCs/>
              </w:rPr>
            </w:pPr>
            <w:r w:rsidRPr="0062050C">
              <w:rPr>
                <w:rFonts w:ascii="Calibri" w:hAnsi="Calibri" w:cs="Arial"/>
                <w:bCs/>
              </w:rPr>
              <w:sym w:font="Wingdings" w:char="F0FC"/>
            </w:r>
          </w:p>
        </w:tc>
        <w:tc>
          <w:tcPr>
            <w:tcW w:w="615" w:type="dxa"/>
          </w:tcPr>
          <w:p w14:paraId="002CDFDE" w14:textId="77777777" w:rsidR="005932F0" w:rsidRPr="0062050C" w:rsidRDefault="005932F0" w:rsidP="000406B3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11</w:t>
            </w:r>
          </w:p>
        </w:tc>
        <w:tc>
          <w:tcPr>
            <w:tcW w:w="9639" w:type="dxa"/>
          </w:tcPr>
          <w:p w14:paraId="5495041D" w14:textId="77777777" w:rsidR="005932F0" w:rsidRDefault="005932F0" w:rsidP="00AD5CE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Essential reading: </w:t>
            </w:r>
            <w:hyperlink r:id="rId10" w:history="1">
              <w:r w:rsidRPr="00FF2B72">
                <w:rPr>
                  <w:rStyle w:val="Hyperlink"/>
                  <w:rFonts w:ascii="Calibri" w:hAnsi="Calibri" w:cs="Arial"/>
                  <w:bCs/>
                </w:rPr>
                <w:t>https://teacherhead.com/2017/06/03/teaching-and-learning-research-summaries-a-collection-for-easy-access/</w:t>
              </w:r>
            </w:hyperlink>
          </w:p>
          <w:p w14:paraId="73CBBCC7" w14:textId="77777777" w:rsidR="005932F0" w:rsidRPr="0062050C" w:rsidRDefault="005932F0" w:rsidP="00AD5CEF">
            <w:pPr>
              <w:rPr>
                <w:rFonts w:ascii="Calibri" w:hAnsi="Calibri" w:cs="Arial"/>
                <w:bCs/>
              </w:rPr>
            </w:pPr>
          </w:p>
        </w:tc>
      </w:tr>
    </w:tbl>
    <w:p w14:paraId="6A94A2CD" w14:textId="77777777" w:rsidR="00647E34" w:rsidRPr="0062050C" w:rsidRDefault="00647E34" w:rsidP="00412B16">
      <w:pPr>
        <w:rPr>
          <w:rFonts w:ascii="Arial" w:hAnsi="Arial" w:cs="Arial"/>
          <w:b/>
          <w:bCs/>
        </w:rPr>
      </w:pPr>
    </w:p>
    <w:sectPr w:rsidR="00647E34" w:rsidRPr="0062050C" w:rsidSect="000646E0">
      <w:headerReference w:type="default" r:id="rId11"/>
      <w:footerReference w:type="default" r:id="rId12"/>
      <w:pgSz w:w="12240" w:h="15840"/>
      <w:pgMar w:top="1418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C6A2" w14:textId="77777777" w:rsidR="00A17779" w:rsidRDefault="00A17779" w:rsidP="00033BE9">
      <w:r>
        <w:separator/>
      </w:r>
    </w:p>
  </w:endnote>
  <w:endnote w:type="continuationSeparator" w:id="0">
    <w:p w14:paraId="48CF15FE" w14:textId="77777777" w:rsidR="00A17779" w:rsidRDefault="00A17779" w:rsidP="0003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9932" w14:textId="77777777" w:rsidR="00033BE9" w:rsidRDefault="00033BE9" w:rsidP="00033BE9">
    <w:pPr>
      <w:pStyle w:val="Footer"/>
      <w:tabs>
        <w:tab w:val="clear" w:pos="4513"/>
        <w:tab w:val="clear" w:pos="9026"/>
        <w:tab w:val="left" w:pos="1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6028" w14:textId="77777777" w:rsidR="00A17779" w:rsidRDefault="00A17779" w:rsidP="00033BE9">
      <w:r>
        <w:separator/>
      </w:r>
    </w:p>
  </w:footnote>
  <w:footnote w:type="continuationSeparator" w:id="0">
    <w:p w14:paraId="41109330" w14:textId="77777777" w:rsidR="00A17779" w:rsidRDefault="00A17779" w:rsidP="0003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46BF" w14:textId="77777777" w:rsidR="00033BE9" w:rsidRPr="000646E0" w:rsidRDefault="000646E0" w:rsidP="000646E0">
    <w:pPr>
      <w:pStyle w:val="Header"/>
    </w:pPr>
    <w:r w:rsidRPr="00085E4F">
      <w:rPr>
        <w:noProof/>
        <w:lang w:eastAsia="en-GB"/>
      </w:rPr>
      <w:pict w14:anchorId="74F88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L:\ITT\Logos\Plymouth_Marjon_University_TEP_Logo_RED_&amp;_BLUE.png" style="width:124.5pt;height:58.5pt;visibility:visible">
          <v:imagedata r:id="rId1" o:title="Plymouth_Marjon_University_TEP_Logo_RED_&amp;_BLU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B44"/>
    <w:multiLevelType w:val="hybridMultilevel"/>
    <w:tmpl w:val="6DB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22D"/>
    <w:multiLevelType w:val="hybridMultilevel"/>
    <w:tmpl w:val="122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33D"/>
    <w:multiLevelType w:val="hybridMultilevel"/>
    <w:tmpl w:val="34F4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D85"/>
    <w:multiLevelType w:val="hybridMultilevel"/>
    <w:tmpl w:val="1B329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47ED"/>
    <w:multiLevelType w:val="hybridMultilevel"/>
    <w:tmpl w:val="227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45DC"/>
    <w:multiLevelType w:val="hybridMultilevel"/>
    <w:tmpl w:val="876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25A"/>
    <w:multiLevelType w:val="hybridMultilevel"/>
    <w:tmpl w:val="C71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E7F"/>
    <w:multiLevelType w:val="hybridMultilevel"/>
    <w:tmpl w:val="8D3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C6B"/>
    <w:multiLevelType w:val="hybridMultilevel"/>
    <w:tmpl w:val="93C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F387F"/>
    <w:multiLevelType w:val="hybridMultilevel"/>
    <w:tmpl w:val="548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3573"/>
    <w:multiLevelType w:val="multilevel"/>
    <w:tmpl w:val="904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F52A2"/>
    <w:multiLevelType w:val="hybridMultilevel"/>
    <w:tmpl w:val="93827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17C95"/>
    <w:multiLevelType w:val="hybridMultilevel"/>
    <w:tmpl w:val="4A2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BEF"/>
    <w:multiLevelType w:val="hybridMultilevel"/>
    <w:tmpl w:val="42C8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F1168"/>
    <w:multiLevelType w:val="hybridMultilevel"/>
    <w:tmpl w:val="D56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956C3"/>
    <w:multiLevelType w:val="hybridMultilevel"/>
    <w:tmpl w:val="74685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0C49"/>
    <w:multiLevelType w:val="hybridMultilevel"/>
    <w:tmpl w:val="9DAC3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11ED"/>
    <w:multiLevelType w:val="hybridMultilevel"/>
    <w:tmpl w:val="31E0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04FB2"/>
    <w:multiLevelType w:val="hybridMultilevel"/>
    <w:tmpl w:val="4ED6E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C0C3D"/>
    <w:multiLevelType w:val="hybridMultilevel"/>
    <w:tmpl w:val="4436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48"/>
    <w:rsid w:val="0001636A"/>
    <w:rsid w:val="0001779E"/>
    <w:rsid w:val="00022C05"/>
    <w:rsid w:val="00033BE9"/>
    <w:rsid w:val="00037BCE"/>
    <w:rsid w:val="000406B3"/>
    <w:rsid w:val="000646E0"/>
    <w:rsid w:val="00080D66"/>
    <w:rsid w:val="00092938"/>
    <w:rsid w:val="000C5B88"/>
    <w:rsid w:val="000C743B"/>
    <w:rsid w:val="000D4875"/>
    <w:rsid w:val="000F67BF"/>
    <w:rsid w:val="00102C98"/>
    <w:rsid w:val="00114520"/>
    <w:rsid w:val="00114FA3"/>
    <w:rsid w:val="00116B72"/>
    <w:rsid w:val="00131698"/>
    <w:rsid w:val="00133848"/>
    <w:rsid w:val="00134AC6"/>
    <w:rsid w:val="00160966"/>
    <w:rsid w:val="00185D39"/>
    <w:rsid w:val="0019482E"/>
    <w:rsid w:val="001A4322"/>
    <w:rsid w:val="001B5701"/>
    <w:rsid w:val="001D1D7F"/>
    <w:rsid w:val="00210446"/>
    <w:rsid w:val="0025326C"/>
    <w:rsid w:val="002969D9"/>
    <w:rsid w:val="002D1521"/>
    <w:rsid w:val="00300A60"/>
    <w:rsid w:val="00305EFC"/>
    <w:rsid w:val="003352EC"/>
    <w:rsid w:val="00343B5A"/>
    <w:rsid w:val="00350D74"/>
    <w:rsid w:val="00377F9E"/>
    <w:rsid w:val="0038080C"/>
    <w:rsid w:val="00386AB0"/>
    <w:rsid w:val="003A2FB4"/>
    <w:rsid w:val="003A5F56"/>
    <w:rsid w:val="003D1254"/>
    <w:rsid w:val="003E150D"/>
    <w:rsid w:val="003E2EE6"/>
    <w:rsid w:val="00404F61"/>
    <w:rsid w:val="00412B16"/>
    <w:rsid w:val="0043159D"/>
    <w:rsid w:val="00432292"/>
    <w:rsid w:val="00436A12"/>
    <w:rsid w:val="00441140"/>
    <w:rsid w:val="00446883"/>
    <w:rsid w:val="00451F54"/>
    <w:rsid w:val="004675E9"/>
    <w:rsid w:val="00490BFC"/>
    <w:rsid w:val="00490D91"/>
    <w:rsid w:val="004C1A42"/>
    <w:rsid w:val="004C45C8"/>
    <w:rsid w:val="004D5248"/>
    <w:rsid w:val="004E01C9"/>
    <w:rsid w:val="004F0E78"/>
    <w:rsid w:val="00550E60"/>
    <w:rsid w:val="00561380"/>
    <w:rsid w:val="005656A0"/>
    <w:rsid w:val="005932F0"/>
    <w:rsid w:val="005C4552"/>
    <w:rsid w:val="005D127F"/>
    <w:rsid w:val="005D14BC"/>
    <w:rsid w:val="005E284B"/>
    <w:rsid w:val="005E30D2"/>
    <w:rsid w:val="005E5B60"/>
    <w:rsid w:val="005E7EC9"/>
    <w:rsid w:val="0060512D"/>
    <w:rsid w:val="0062050C"/>
    <w:rsid w:val="00647E34"/>
    <w:rsid w:val="006A1C41"/>
    <w:rsid w:val="006E60AA"/>
    <w:rsid w:val="00724906"/>
    <w:rsid w:val="00784088"/>
    <w:rsid w:val="00787D32"/>
    <w:rsid w:val="00790D74"/>
    <w:rsid w:val="007C209E"/>
    <w:rsid w:val="00851EB5"/>
    <w:rsid w:val="00853B44"/>
    <w:rsid w:val="008B6458"/>
    <w:rsid w:val="008D53DA"/>
    <w:rsid w:val="008F4D0E"/>
    <w:rsid w:val="008F67FE"/>
    <w:rsid w:val="00903A50"/>
    <w:rsid w:val="0092321F"/>
    <w:rsid w:val="00932492"/>
    <w:rsid w:val="00940897"/>
    <w:rsid w:val="009577CB"/>
    <w:rsid w:val="00962655"/>
    <w:rsid w:val="009A7BA7"/>
    <w:rsid w:val="009C2628"/>
    <w:rsid w:val="009C38CE"/>
    <w:rsid w:val="00A066FB"/>
    <w:rsid w:val="00A149C0"/>
    <w:rsid w:val="00A17779"/>
    <w:rsid w:val="00A206B2"/>
    <w:rsid w:val="00A27776"/>
    <w:rsid w:val="00A420A0"/>
    <w:rsid w:val="00A4232F"/>
    <w:rsid w:val="00A55312"/>
    <w:rsid w:val="00A6655F"/>
    <w:rsid w:val="00A70269"/>
    <w:rsid w:val="00A86D44"/>
    <w:rsid w:val="00AA6736"/>
    <w:rsid w:val="00AC37BE"/>
    <w:rsid w:val="00AD3F72"/>
    <w:rsid w:val="00AD5CEF"/>
    <w:rsid w:val="00AF3C79"/>
    <w:rsid w:val="00B04EBB"/>
    <w:rsid w:val="00B10A3C"/>
    <w:rsid w:val="00B32DA7"/>
    <w:rsid w:val="00B60D9F"/>
    <w:rsid w:val="00B6483D"/>
    <w:rsid w:val="00B679D0"/>
    <w:rsid w:val="00B71548"/>
    <w:rsid w:val="00B84A65"/>
    <w:rsid w:val="00C369C3"/>
    <w:rsid w:val="00C41FD9"/>
    <w:rsid w:val="00C44816"/>
    <w:rsid w:val="00C46910"/>
    <w:rsid w:val="00C8034A"/>
    <w:rsid w:val="00CA0445"/>
    <w:rsid w:val="00CB391B"/>
    <w:rsid w:val="00CB5DD7"/>
    <w:rsid w:val="00CC39A2"/>
    <w:rsid w:val="00CC5C90"/>
    <w:rsid w:val="00CE3664"/>
    <w:rsid w:val="00CE4CA2"/>
    <w:rsid w:val="00CE6221"/>
    <w:rsid w:val="00CE6CC8"/>
    <w:rsid w:val="00D02591"/>
    <w:rsid w:val="00D30F27"/>
    <w:rsid w:val="00D566D2"/>
    <w:rsid w:val="00D570D7"/>
    <w:rsid w:val="00D6116C"/>
    <w:rsid w:val="00D6605B"/>
    <w:rsid w:val="00D91A3D"/>
    <w:rsid w:val="00DA180D"/>
    <w:rsid w:val="00DE59B1"/>
    <w:rsid w:val="00DF1611"/>
    <w:rsid w:val="00DF19AC"/>
    <w:rsid w:val="00E02B9C"/>
    <w:rsid w:val="00E51B9F"/>
    <w:rsid w:val="00E5741A"/>
    <w:rsid w:val="00E64E76"/>
    <w:rsid w:val="00E71AD5"/>
    <w:rsid w:val="00E8053A"/>
    <w:rsid w:val="00E81693"/>
    <w:rsid w:val="00EA7DA8"/>
    <w:rsid w:val="00EC16BB"/>
    <w:rsid w:val="00EC7D7D"/>
    <w:rsid w:val="00F02EAA"/>
    <w:rsid w:val="00F04800"/>
    <w:rsid w:val="00F14894"/>
    <w:rsid w:val="00F3028C"/>
    <w:rsid w:val="00F329DA"/>
    <w:rsid w:val="00F43525"/>
    <w:rsid w:val="00F7339F"/>
    <w:rsid w:val="00F8369F"/>
    <w:rsid w:val="00F85C63"/>
    <w:rsid w:val="00F97358"/>
    <w:rsid w:val="00FB5082"/>
    <w:rsid w:val="00FC26CA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6CD22"/>
  <w15:chartTrackingRefBased/>
  <w15:docId w15:val="{5C742002-EAEA-4CC0-AB87-726D78B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45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BFC"/>
    <w:rPr>
      <w:rFonts w:ascii="Tahoma" w:hAnsi="Tahoma" w:cs="Tahoma"/>
      <w:sz w:val="16"/>
      <w:szCs w:val="16"/>
    </w:rPr>
  </w:style>
  <w:style w:type="character" w:styleId="Hyperlink">
    <w:name w:val="Hyperlink"/>
    <w:rsid w:val="00E81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7F"/>
    <w:pPr>
      <w:ind w:left="720"/>
    </w:pPr>
  </w:style>
  <w:style w:type="paragraph" w:styleId="Header">
    <w:name w:val="header"/>
    <w:basedOn w:val="Normal"/>
    <w:link w:val="HeaderChar"/>
    <w:uiPriority w:val="99"/>
    <w:rsid w:val="00033BE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33B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33BE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033BE9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300A6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300A60"/>
  </w:style>
  <w:style w:type="character" w:customStyle="1" w:styleId="eop">
    <w:name w:val="eop"/>
    <w:rsid w:val="00300A60"/>
  </w:style>
  <w:style w:type="character" w:styleId="UnresolvedMention">
    <w:name w:val="Unresolved Mention"/>
    <w:uiPriority w:val="99"/>
    <w:semiHidden/>
    <w:unhideWhenUsed/>
    <w:rsid w:val="0059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20050/KCSIE_2021_September_guidan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earning.prevent.homeoffice.gov.uk/channel_awareness/01-welc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cherhead.com/2017/06/03/teaching-and-learning-research-summaries-a-collection-for-easy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dgateway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St Mark &amp; St John</vt:lpstr>
    </vt:vector>
  </TitlesOfParts>
  <Company>Marjon</Company>
  <LinksUpToDate>false</LinksUpToDate>
  <CharactersWithSpaces>3254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https://teacherhead.com/2017/06/03/teaching-and-learning-research-summaries-a-collection-for-easy-access/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https://www.sendgateway.org.uk/</vt:lpwstr>
      </vt:variant>
      <vt:variant>
        <vt:lpwstr/>
      </vt:variant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https://assets.publishing.service.gov.uk/government/uploads/system/uploads/attachment_data/file/1020050/KCSIE_2021_September_guidance.pdf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https://www.elearning.prevent.homeoffice.gov.uk/channel_awareness/01-welcome.html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St Mark &amp; St John</dc:title>
  <dc:subject/>
  <dc:creator>COLLEGE ST MARK &amp; ST JOHN</dc:creator>
  <cp:keywords/>
  <cp:lastModifiedBy>Thomas Cowan</cp:lastModifiedBy>
  <cp:revision>2</cp:revision>
  <cp:lastPrinted>2014-12-09T17:26:00Z</cp:lastPrinted>
  <dcterms:created xsi:type="dcterms:W3CDTF">2021-11-17T07:52:00Z</dcterms:created>
  <dcterms:modified xsi:type="dcterms:W3CDTF">2021-11-17T07:52:00Z</dcterms:modified>
</cp:coreProperties>
</file>